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480" w:lineRule="exact"/>
        <w:ind w:firstLine="0" w:firstLineChars="0"/>
        <w:jc w:val="both"/>
        <w:outlineLvl w:val="1"/>
        <w:rPr>
          <w:rFonts w:hint="eastAsia" w:ascii="Nimbus Roman No9 L" w:hAnsi="Nimbus Roman No9 L" w:eastAsia="黑体" w:cs="Nimbus Roman No9 L"/>
          <w:color w:val="000000"/>
          <w:kern w:val="2"/>
          <w:sz w:val="32"/>
          <w:szCs w:val="32"/>
          <w:lang w:eastAsia="zh-CN"/>
        </w:rPr>
      </w:pPr>
      <w:r>
        <w:rPr>
          <w:rFonts w:ascii="Nimbus Roman No9 L" w:hAnsi="Nimbus Roman No9 L" w:eastAsia="黑体" w:cs="Nimbus Roman No9 L"/>
          <w:color w:val="000000"/>
          <w:kern w:val="2"/>
          <w:sz w:val="32"/>
          <w:szCs w:val="32"/>
        </w:rPr>
        <w:t>附件</w:t>
      </w:r>
    </w:p>
    <w:p>
      <w:pPr>
        <w:adjustRightInd/>
        <w:snapToGrid/>
        <w:spacing w:line="600" w:lineRule="exact"/>
        <w:ind w:firstLine="640" w:firstLineChars="200"/>
        <w:jc w:val="both"/>
        <w:rPr>
          <w:rFonts w:hint="eastAsia" w:ascii="仿宋_GB2312" w:hAnsi="方正小标宋简体" w:eastAsia="仿宋_GB2312"/>
          <w:color w:val="000000"/>
          <w:kern w:val="2"/>
          <w:sz w:val="32"/>
          <w:szCs w:val="32"/>
        </w:rPr>
      </w:pPr>
    </w:p>
    <w:p>
      <w:pPr>
        <w:adjustRightInd/>
        <w:snapToGrid/>
        <w:spacing w:line="240" w:lineRule="auto"/>
        <w:ind w:firstLine="0" w:firstLineChars="0"/>
        <w:jc w:val="center"/>
        <w:rPr>
          <w:rFonts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甘肃省绿色矿山建设投融资项目入库指南</w:t>
      </w:r>
    </w:p>
    <w:p>
      <w:pPr>
        <w:adjustRightInd/>
        <w:snapToGrid/>
        <w:spacing w:line="240" w:lineRule="auto"/>
        <w:ind w:firstLine="0" w:firstLineChars="0"/>
        <w:jc w:val="center"/>
        <w:rPr>
          <w:rFonts w:ascii="方正小标宋简体" w:hAnsi="方正小标宋简体" w:eastAsia="方正小标宋简体"/>
          <w:color w:val="000000"/>
          <w:kern w:val="2"/>
          <w:sz w:val="36"/>
          <w:szCs w:val="36"/>
        </w:rPr>
      </w:pPr>
      <w:r>
        <w:rPr>
          <w:rFonts w:hint="eastAsia" w:ascii="方正小标宋简体" w:hAnsi="方正小标宋简体" w:eastAsia="方正小标宋简体"/>
          <w:color w:val="000000"/>
          <w:kern w:val="2"/>
          <w:sz w:val="36"/>
          <w:szCs w:val="36"/>
        </w:rPr>
        <w:t>（试行）</w:t>
      </w:r>
    </w:p>
    <w:p>
      <w:pPr>
        <w:adjustRightInd/>
        <w:snapToGrid/>
        <w:spacing w:line="600" w:lineRule="exact"/>
        <w:ind w:firstLine="640" w:firstLineChars="200"/>
        <w:jc w:val="both"/>
        <w:rPr>
          <w:rFonts w:hint="eastAsia" w:ascii="仿宋_GB2312" w:hAnsi="方正小标宋简体" w:eastAsia="仿宋_GB2312"/>
          <w:color w:val="000000"/>
          <w:kern w:val="2"/>
          <w:sz w:val="32"/>
          <w:szCs w:val="32"/>
        </w:rPr>
      </w:pPr>
    </w:p>
    <w:p>
      <w:pPr>
        <w:adjustRightInd/>
        <w:snapToGrid/>
        <w:spacing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方正小标宋简体" w:eastAsia="仿宋_GB2312"/>
          <w:color w:val="000000"/>
          <w:kern w:val="2"/>
          <w:sz w:val="32"/>
          <w:szCs w:val="32"/>
        </w:rPr>
        <w:t>为贯彻习近平生态文明思想，落实</w:t>
      </w:r>
      <w:r>
        <w:rPr>
          <w:rFonts w:hint="eastAsia" w:ascii="仿宋_GB2312" w:hAnsi="仿宋_GB2312" w:eastAsia="仿宋_GB2312" w:cs="仿宋_GB2312"/>
          <w:color w:val="000000"/>
          <w:kern w:val="2"/>
          <w:sz w:val="32"/>
          <w:szCs w:val="32"/>
        </w:rPr>
        <w:t>《中共中央 国务院关于加快推进生态文明建设的意见》《中共中央 国务院关于全面推进美丽中国建设的意见》，根据自然资源部等7部委《关于进一步加强绿色矿山建设的通知》（自然资规〔2024〕1号）、国家发展改革委等10部委《</w:t>
      </w:r>
      <w:r>
        <w:rPr>
          <w:rFonts w:hint="eastAsia" w:ascii="仿宋_GB2312" w:hAnsi="方正小标宋简体" w:eastAsia="仿宋_GB2312"/>
          <w:color w:val="000000"/>
          <w:kern w:val="2"/>
          <w:sz w:val="32"/>
          <w:szCs w:val="32"/>
        </w:rPr>
        <w:t>绿色低碳转型产业指导目录（2024年版）》</w:t>
      </w:r>
      <w:r>
        <w:rPr>
          <w:rFonts w:hint="eastAsia" w:ascii="仿宋_GB2312" w:hAnsi="仿宋_GB2312" w:eastAsia="仿宋_GB2312" w:cs="仿宋_GB2312"/>
          <w:color w:val="000000"/>
          <w:kern w:val="2"/>
          <w:sz w:val="32"/>
          <w:szCs w:val="32"/>
        </w:rPr>
        <w:t>及甘肃省自然资源厅等18部门《进一步支持矿业高质量发展加快全省绿色矿山建设的若干措施》（甘资规发〔2024〕6号），制定本指南。</w:t>
      </w:r>
    </w:p>
    <w:p>
      <w:pPr>
        <w:adjustRightInd/>
        <w:snapToGrid/>
        <w:spacing w:line="600" w:lineRule="exact"/>
        <w:ind w:firstLine="640" w:firstLineChars="200"/>
        <w:jc w:val="both"/>
        <w:rPr>
          <w:rFonts w:ascii="黑体" w:hAnsi="黑体" w:eastAsia="黑体"/>
          <w:color w:val="000000"/>
          <w:kern w:val="2"/>
          <w:sz w:val="32"/>
          <w:szCs w:val="32"/>
        </w:rPr>
      </w:pPr>
      <w:r>
        <w:rPr>
          <w:rFonts w:hint="eastAsia" w:ascii="黑体" w:hAnsi="黑体" w:eastAsia="黑体"/>
          <w:color w:val="000000"/>
          <w:kern w:val="2"/>
          <w:sz w:val="32"/>
          <w:szCs w:val="32"/>
        </w:rPr>
        <w:t>一、目标定位</w:t>
      </w: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仿宋_GB2312" w:eastAsia="仿宋_GB2312" w:cs="仿宋_GB2312"/>
          <w:color w:val="000000"/>
          <w:kern w:val="2"/>
          <w:sz w:val="32"/>
          <w:szCs w:val="32"/>
          <w:lang w:eastAsia="zh-CN"/>
        </w:rPr>
        <w:t>按照国家矿业绿色低碳转型发展、全面推进绿色矿山建设有关要求，充分发挥自然资源部门在矿产资源配置及监管方面的优势、人民银行融资协调服务优势以及各银行业金融机构专业化支持优势，强化政银企协调联动，协调建立</w:t>
      </w:r>
      <w:r>
        <w:rPr>
          <w:rFonts w:hint="eastAsia" w:ascii="仿宋_GB2312" w:hAnsi="仿宋_GB2312" w:eastAsia="仿宋_GB2312" w:cs="仿宋_GB2312"/>
          <w:color w:val="000000"/>
          <w:kern w:val="2"/>
          <w:sz w:val="32"/>
          <w:szCs w:val="32"/>
        </w:rPr>
        <w:t>甘肃省绿色矿山</w:t>
      </w:r>
      <w:r>
        <w:rPr>
          <w:rFonts w:hint="eastAsia" w:ascii="仿宋_GB2312" w:hAnsi="仿宋_GB2312" w:eastAsia="仿宋_GB2312" w:cs="仿宋_GB2312"/>
          <w:color w:val="000000"/>
          <w:kern w:val="2"/>
          <w:sz w:val="32"/>
          <w:szCs w:val="32"/>
          <w:lang w:eastAsia="zh-CN"/>
        </w:rPr>
        <w:t>建设</w:t>
      </w:r>
      <w:r>
        <w:rPr>
          <w:rFonts w:hint="eastAsia" w:ascii="仿宋_GB2312" w:hAnsi="仿宋_GB2312" w:eastAsia="仿宋_GB2312" w:cs="仿宋_GB2312"/>
          <w:color w:val="000000"/>
          <w:kern w:val="2"/>
          <w:sz w:val="32"/>
          <w:szCs w:val="32"/>
        </w:rPr>
        <w:t>投融资项目库</w:t>
      </w:r>
      <w:r>
        <w:rPr>
          <w:rFonts w:hint="eastAsia" w:ascii="仿宋_GB2312" w:hAnsi="仿宋_GB2312" w:eastAsia="仿宋_GB2312" w:cs="仿宋_GB2312"/>
          <w:color w:val="000000"/>
          <w:kern w:val="2"/>
          <w:sz w:val="32"/>
          <w:szCs w:val="32"/>
          <w:lang w:eastAsia="zh-CN"/>
        </w:rPr>
        <w:t>，打通全省绿色矿山建设项目融资对接渠道，切实缓解政银企信息不对称、绿色矿山项目融资落地慢等问题，进一步增强金融支持绿色矿山建设项目的针对性、有效性。</w:t>
      </w:r>
      <w:r>
        <w:rPr>
          <w:rFonts w:hint="eastAsia" w:ascii="仿宋_GB2312" w:hAnsi="仿宋_GB2312" w:eastAsia="仿宋_GB2312" w:cs="仿宋_GB2312"/>
          <w:color w:val="000000"/>
          <w:kern w:val="2"/>
          <w:sz w:val="32"/>
          <w:szCs w:val="32"/>
        </w:rPr>
        <w:t>吸引</w:t>
      </w:r>
      <w:r>
        <w:rPr>
          <w:rFonts w:hint="eastAsia" w:ascii="仿宋_GB2312" w:hAnsi="方正小标宋简体" w:eastAsia="仿宋_GB2312"/>
          <w:color w:val="000000"/>
          <w:kern w:val="2"/>
          <w:sz w:val="32"/>
          <w:szCs w:val="32"/>
        </w:rPr>
        <w:t>和激励更多社会资本投入绿色矿山建设领域，形成政府引导、企业主建、市场运作、社会参与的多元化投融资格局。</w:t>
      </w:r>
    </w:p>
    <w:p>
      <w:pPr>
        <w:adjustRightInd/>
        <w:snapToGrid/>
        <w:spacing w:line="600" w:lineRule="exact"/>
        <w:ind w:firstLine="640" w:firstLineChars="200"/>
        <w:jc w:val="both"/>
        <w:rPr>
          <w:rFonts w:ascii="黑体" w:hAnsi="黑体" w:eastAsia="黑体"/>
          <w:color w:val="000000"/>
          <w:kern w:val="2"/>
          <w:sz w:val="32"/>
          <w:szCs w:val="32"/>
        </w:rPr>
      </w:pPr>
      <w:r>
        <w:rPr>
          <w:rFonts w:hint="eastAsia" w:ascii="黑体" w:hAnsi="黑体" w:eastAsia="黑体"/>
          <w:color w:val="000000"/>
          <w:kern w:val="2"/>
          <w:sz w:val="32"/>
          <w:szCs w:val="32"/>
        </w:rPr>
        <w:t>二、入库范围及项目分类</w:t>
      </w: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方正小标宋简体" w:eastAsia="仿宋_GB2312"/>
          <w:color w:val="000000"/>
          <w:kern w:val="2"/>
          <w:sz w:val="32"/>
          <w:szCs w:val="32"/>
        </w:rPr>
        <w:t>本</w:t>
      </w:r>
      <w:r>
        <w:rPr>
          <w:rFonts w:hint="eastAsia" w:ascii="仿宋_GB2312" w:hAnsi="方正小标宋简体" w:eastAsia="仿宋_GB2312"/>
          <w:color w:val="000000"/>
          <w:kern w:val="2"/>
          <w:sz w:val="32"/>
          <w:szCs w:val="32"/>
          <w:lang w:eastAsia="zh-CN"/>
        </w:rPr>
        <w:t>指南</w:t>
      </w:r>
      <w:r>
        <w:rPr>
          <w:rFonts w:hint="eastAsia" w:ascii="仿宋_GB2312" w:hAnsi="方正小标宋简体" w:eastAsia="仿宋_GB2312"/>
          <w:color w:val="000000"/>
          <w:kern w:val="2"/>
          <w:sz w:val="32"/>
          <w:szCs w:val="32"/>
        </w:rPr>
        <w:t>适用于甘肃省行政区域内绿色矿山建设（包括已纳入绿色矿山名录库或正在开展绿色矿山建设）投融资项目入库的申报、审核、管理等工作。入库目录涉及绿色矿山矿区环境、资源开采、资源综合利用、绿色低碳、生态修复与环境治理、科技创新与规范管理等方面</w:t>
      </w:r>
      <w:r>
        <w:rPr>
          <w:rFonts w:hint="eastAsia" w:ascii="仿宋_GB2312" w:hAnsi="方正小标宋简体" w:eastAsia="仿宋_GB2312"/>
          <w:color w:val="000000"/>
          <w:kern w:val="2"/>
          <w:sz w:val="32"/>
          <w:szCs w:val="32"/>
          <w:lang w:eastAsia="zh-CN"/>
        </w:rPr>
        <w:t>，详见</w:t>
      </w:r>
      <w:r>
        <w:rPr>
          <w:rFonts w:hint="eastAsia" w:ascii="仿宋_GB2312" w:hAnsi="方正小标宋简体" w:eastAsia="仿宋_GB2312"/>
          <w:color w:val="000000"/>
          <w:kern w:val="2"/>
          <w:sz w:val="32"/>
          <w:szCs w:val="32"/>
        </w:rPr>
        <w:t>《甘肃省绿色矿山建设投融资项目目录清单》</w:t>
      </w:r>
      <w:r>
        <w:rPr>
          <w:rFonts w:hint="eastAsia" w:ascii="仿宋_GB2312" w:hAnsi="方正小标宋简体" w:eastAsia="仿宋_GB2312"/>
          <w:color w:val="000000"/>
          <w:kern w:val="2"/>
          <w:sz w:val="32"/>
          <w:szCs w:val="32"/>
          <w:lang w:eastAsia="zh-CN"/>
        </w:rPr>
        <w:t>（</w:t>
      </w:r>
      <w:r>
        <w:rPr>
          <w:rFonts w:hint="eastAsia" w:ascii="仿宋_GB2312" w:hAnsi="方正小标宋简体" w:eastAsia="仿宋_GB2312"/>
          <w:color w:val="000000"/>
          <w:kern w:val="2"/>
          <w:sz w:val="32"/>
          <w:szCs w:val="32"/>
        </w:rPr>
        <w:t>附件1</w:t>
      </w:r>
      <w:r>
        <w:rPr>
          <w:rFonts w:hint="eastAsia" w:ascii="仿宋_GB2312" w:hAnsi="方正小标宋简体" w:eastAsia="仿宋_GB2312"/>
          <w:color w:val="000000"/>
          <w:kern w:val="2"/>
          <w:sz w:val="32"/>
          <w:szCs w:val="32"/>
          <w:lang w:eastAsia="zh-CN"/>
        </w:rPr>
        <w:t>）</w:t>
      </w:r>
      <w:r>
        <w:rPr>
          <w:rFonts w:hint="eastAsia" w:ascii="仿宋_GB2312" w:hAnsi="方正小标宋简体" w:eastAsia="仿宋_GB2312"/>
          <w:color w:val="000000"/>
          <w:kern w:val="2"/>
          <w:sz w:val="32"/>
          <w:szCs w:val="32"/>
        </w:rPr>
        <w:t>。</w:t>
      </w:r>
    </w:p>
    <w:p>
      <w:pPr>
        <w:adjustRightInd/>
        <w:snapToGrid/>
        <w:spacing w:line="600" w:lineRule="exact"/>
        <w:ind w:firstLine="640" w:firstLineChars="200"/>
        <w:jc w:val="both"/>
        <w:rPr>
          <w:rFonts w:ascii="黑体" w:hAnsi="黑体" w:eastAsia="黑体"/>
          <w:color w:val="000000"/>
          <w:kern w:val="2"/>
          <w:sz w:val="32"/>
          <w:szCs w:val="32"/>
        </w:rPr>
      </w:pPr>
      <w:r>
        <w:rPr>
          <w:rFonts w:hint="eastAsia" w:ascii="黑体" w:hAnsi="黑体" w:eastAsia="黑体"/>
          <w:color w:val="000000"/>
          <w:kern w:val="2"/>
          <w:sz w:val="32"/>
          <w:szCs w:val="32"/>
        </w:rPr>
        <w:t>三、入库流程</w:t>
      </w:r>
    </w:p>
    <w:p>
      <w:pPr>
        <w:adjustRightInd/>
        <w:snapToGrid/>
        <w:spacing w:line="600" w:lineRule="exact"/>
        <w:ind w:firstLine="642" w:firstLineChars="200"/>
        <w:jc w:val="both"/>
        <w:rPr>
          <w:rFonts w:ascii="楷体_GB2312" w:hAnsi="方正小标宋简体" w:eastAsia="楷体_GB2312"/>
          <w:b/>
          <w:bCs/>
          <w:color w:val="000000"/>
          <w:kern w:val="2"/>
          <w:sz w:val="32"/>
          <w:szCs w:val="32"/>
        </w:rPr>
      </w:pPr>
      <w:r>
        <w:rPr>
          <w:rFonts w:hint="eastAsia" w:ascii="楷体_GB2312" w:hAnsi="方正小标宋简体" w:eastAsia="楷体_GB2312"/>
          <w:b/>
          <w:bCs/>
          <w:color w:val="000000"/>
          <w:kern w:val="2"/>
          <w:sz w:val="32"/>
          <w:szCs w:val="32"/>
        </w:rPr>
        <w:t>（一）申报要求</w:t>
      </w: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方正小标宋简体" w:eastAsia="仿宋_GB2312"/>
          <w:color w:val="000000"/>
          <w:kern w:val="2"/>
          <w:sz w:val="32"/>
          <w:szCs w:val="32"/>
        </w:rPr>
        <w:t>申报单位为已纳入绿色矿山名录库的矿山企业或正在开展绿色矿山建设的</w:t>
      </w:r>
      <w:r>
        <w:rPr>
          <w:rFonts w:hint="eastAsia" w:ascii="仿宋_GB2312" w:hAnsi="方正小标宋简体" w:eastAsia="仿宋_GB2312"/>
          <w:color w:val="000000"/>
          <w:kern w:val="2"/>
          <w:sz w:val="32"/>
          <w:szCs w:val="32"/>
          <w:lang w:eastAsia="zh-CN"/>
        </w:rPr>
        <w:t>矿山</w:t>
      </w:r>
      <w:r>
        <w:rPr>
          <w:rFonts w:hint="eastAsia" w:ascii="仿宋_GB2312" w:hAnsi="方正小标宋简体" w:eastAsia="仿宋_GB2312"/>
          <w:color w:val="000000"/>
          <w:kern w:val="2"/>
          <w:sz w:val="32"/>
          <w:szCs w:val="32"/>
        </w:rPr>
        <w:t>企业，申报单位财务管理制度健全，最近一年未被列入</w:t>
      </w:r>
      <w:r>
        <w:rPr>
          <w:rFonts w:hint="eastAsia" w:ascii="仿宋_GB2312" w:hAnsi="方正小标宋简体" w:eastAsia="仿宋_GB2312"/>
          <w:color w:val="000000"/>
          <w:kern w:val="2"/>
          <w:sz w:val="32"/>
          <w:szCs w:val="32"/>
          <w:lang w:eastAsia="zh-CN"/>
        </w:rPr>
        <w:t>信用中国（甘肃）、</w:t>
      </w:r>
      <w:r>
        <w:rPr>
          <w:rFonts w:hint="eastAsia" w:ascii="仿宋_GB2312" w:hAnsi="方正小标宋简体" w:eastAsia="仿宋_GB2312"/>
          <w:color w:val="000000"/>
          <w:kern w:val="2"/>
          <w:sz w:val="32"/>
          <w:szCs w:val="32"/>
        </w:rPr>
        <w:t>国家企业信用信息公示系统（甘肃）黑名单。申报项目符合《甘肃省绿色矿山建设投融资项目目录清单》要求。</w:t>
      </w:r>
    </w:p>
    <w:p>
      <w:pPr>
        <w:adjustRightInd/>
        <w:snapToGrid/>
        <w:spacing w:line="600" w:lineRule="exact"/>
        <w:ind w:firstLine="642" w:firstLineChars="200"/>
        <w:jc w:val="both"/>
        <w:rPr>
          <w:rFonts w:ascii="楷体_GB2312" w:hAnsi="方正小标宋简体" w:eastAsia="楷体_GB2312"/>
          <w:b/>
          <w:bCs/>
          <w:color w:val="000000"/>
          <w:kern w:val="2"/>
          <w:sz w:val="32"/>
          <w:szCs w:val="32"/>
        </w:rPr>
      </w:pPr>
      <w:r>
        <w:rPr>
          <w:rFonts w:hint="eastAsia" w:ascii="楷体_GB2312" w:hAnsi="方正小标宋简体" w:eastAsia="楷体_GB2312"/>
          <w:b/>
          <w:bCs/>
          <w:color w:val="000000"/>
          <w:kern w:val="2"/>
          <w:sz w:val="32"/>
          <w:szCs w:val="32"/>
        </w:rPr>
        <w:t>（二）申报审核</w:t>
      </w: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方正小标宋简体" w:eastAsia="仿宋_GB2312"/>
          <w:color w:val="000000"/>
          <w:kern w:val="2"/>
          <w:sz w:val="32"/>
          <w:szCs w:val="32"/>
          <w:lang w:val="en-US" w:eastAsia="zh-CN"/>
        </w:rPr>
        <w:t>1.</w:t>
      </w:r>
      <w:r>
        <w:rPr>
          <w:rFonts w:hint="eastAsia" w:ascii="仿宋_GB2312" w:hAnsi="方正小标宋简体" w:eastAsia="仿宋_GB2312"/>
          <w:color w:val="000000"/>
          <w:kern w:val="2"/>
          <w:sz w:val="32"/>
          <w:szCs w:val="32"/>
        </w:rPr>
        <w:t>申报单位填写《甘肃省绿色矿山建设投融资项目入库申请表》（见附件2），</w:t>
      </w:r>
      <w:r>
        <w:rPr>
          <w:rFonts w:hint="eastAsia" w:ascii="仿宋_GB2312" w:hAnsi="方正小标宋简体" w:eastAsia="仿宋_GB2312"/>
          <w:color w:val="000000"/>
          <w:kern w:val="2"/>
          <w:sz w:val="32"/>
          <w:szCs w:val="32"/>
          <w:lang w:eastAsia="zh-CN"/>
        </w:rPr>
        <w:t>并附</w:t>
      </w:r>
      <w:r>
        <w:rPr>
          <w:rFonts w:hint="eastAsia" w:ascii="仿宋_GB2312" w:hAnsi="方正小标宋简体" w:eastAsia="仿宋_GB2312"/>
          <w:color w:val="000000"/>
          <w:kern w:val="2"/>
          <w:sz w:val="32"/>
          <w:szCs w:val="32"/>
        </w:rPr>
        <w:t>相关资料</w:t>
      </w:r>
      <w:r>
        <w:rPr>
          <w:rFonts w:hint="eastAsia" w:ascii="仿宋_GB2312" w:hAnsi="方正小标宋简体" w:eastAsia="仿宋_GB2312"/>
          <w:color w:val="000000"/>
          <w:kern w:val="2"/>
          <w:sz w:val="32"/>
          <w:szCs w:val="32"/>
          <w:lang w:eastAsia="zh-CN"/>
        </w:rPr>
        <w:t>上报</w:t>
      </w:r>
      <w:r>
        <w:rPr>
          <w:rFonts w:hint="eastAsia" w:ascii="仿宋_GB2312" w:hAnsi="方正小标宋简体" w:eastAsia="仿宋_GB2312"/>
          <w:color w:val="000000"/>
          <w:kern w:val="2"/>
          <w:sz w:val="32"/>
          <w:szCs w:val="32"/>
        </w:rPr>
        <w:t>省自然资源厅</w:t>
      </w:r>
      <w:r>
        <w:rPr>
          <w:rFonts w:hint="eastAsia" w:ascii="仿宋_GB2312" w:hAnsi="方正小标宋简体" w:eastAsia="仿宋_GB2312"/>
          <w:color w:val="000000"/>
          <w:kern w:val="2"/>
          <w:sz w:val="32"/>
          <w:szCs w:val="32"/>
          <w:lang w:eastAsia="zh-CN"/>
        </w:rPr>
        <w:t>（申请表扫描件及相关资料电子版发送至电子邮箱：</w:t>
      </w:r>
      <w:r>
        <w:rPr>
          <w:rFonts w:hint="eastAsia" w:ascii="Noto Sans CJK JP" w:hAnsi="Noto Sans CJK JP" w:eastAsia="Noto Sans CJK JP" w:cs="Noto Sans CJK JP"/>
          <w:color w:val="000000"/>
          <w:kern w:val="2"/>
          <w:sz w:val="32"/>
          <w:szCs w:val="32"/>
          <w:lang w:val="en-US" w:eastAsia="zh-CN"/>
        </w:rPr>
        <w:t>gsskylhh@126.com</w:t>
      </w:r>
      <w:r>
        <w:rPr>
          <w:rFonts w:hint="eastAsia" w:ascii="仿宋_GB2312" w:hAnsi="方正小标宋简体" w:eastAsia="仿宋_GB2312" w:cs="Times New Roman"/>
          <w:color w:val="000000"/>
          <w:kern w:val="2"/>
          <w:sz w:val="32"/>
          <w:szCs w:val="32"/>
          <w:lang w:val="en-US" w:eastAsia="zh-CN"/>
        </w:rPr>
        <w:t>）</w:t>
      </w:r>
      <w:r>
        <w:rPr>
          <w:rFonts w:hint="eastAsia" w:ascii="仿宋_GB2312" w:hAnsi="方正小标宋简体" w:eastAsia="仿宋_GB2312"/>
          <w:color w:val="000000"/>
          <w:kern w:val="2"/>
          <w:sz w:val="32"/>
          <w:szCs w:val="32"/>
        </w:rPr>
        <w:t>。</w:t>
      </w: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方正小标宋简体" w:eastAsia="仿宋_GB2312"/>
          <w:color w:val="000000"/>
          <w:kern w:val="2"/>
          <w:sz w:val="32"/>
          <w:szCs w:val="32"/>
        </w:rPr>
        <w:t>2.省自然资源厅</w:t>
      </w:r>
      <w:r>
        <w:rPr>
          <w:rFonts w:hint="eastAsia" w:ascii="仿宋_GB2312" w:hAnsi="方正小标宋简体" w:eastAsia="仿宋_GB2312"/>
          <w:color w:val="000000"/>
          <w:kern w:val="2"/>
          <w:sz w:val="32"/>
          <w:szCs w:val="32"/>
          <w:lang w:eastAsia="zh-CN"/>
        </w:rPr>
        <w:t>、</w:t>
      </w:r>
      <w:r>
        <w:rPr>
          <w:rFonts w:hint="eastAsia" w:ascii="仿宋_GB2312" w:hAnsi="方正小标宋简体" w:eastAsia="仿宋_GB2312"/>
          <w:color w:val="000000"/>
          <w:kern w:val="2"/>
          <w:sz w:val="32"/>
          <w:szCs w:val="32"/>
        </w:rPr>
        <w:t>中国人民银行甘肃省分行</w:t>
      </w:r>
      <w:r>
        <w:rPr>
          <w:rFonts w:hint="eastAsia" w:ascii="仿宋_GB2312" w:hAnsi="方正小标宋简体" w:eastAsia="仿宋_GB2312"/>
          <w:color w:val="000000"/>
          <w:kern w:val="2"/>
          <w:sz w:val="32"/>
          <w:szCs w:val="32"/>
          <w:lang w:eastAsia="zh-CN"/>
        </w:rPr>
        <w:t>共同委托甘肃省矿业联合会对申请入库的绿色矿山建设项目进行审核。甘肃省矿业联合会根据工作需要，组织地质、采矿、选矿、生态、环境、金融、财务等专业的专家对</w:t>
      </w:r>
      <w:r>
        <w:rPr>
          <w:rFonts w:hint="eastAsia" w:ascii="仿宋_GB2312" w:hAnsi="方正小标宋简体" w:eastAsia="仿宋_GB2312"/>
          <w:color w:val="000000"/>
          <w:kern w:val="2"/>
          <w:sz w:val="32"/>
          <w:szCs w:val="32"/>
        </w:rPr>
        <w:t>申报资料</w:t>
      </w:r>
      <w:r>
        <w:rPr>
          <w:rFonts w:hint="eastAsia" w:ascii="仿宋_GB2312" w:hAnsi="方正小标宋简体" w:eastAsia="仿宋_GB2312"/>
          <w:color w:val="000000"/>
          <w:kern w:val="2"/>
          <w:sz w:val="32"/>
          <w:szCs w:val="32"/>
          <w:lang w:eastAsia="zh-CN"/>
        </w:rPr>
        <w:t>进行技术审查，并邀请管理部门和金融机构代表到会指导。</w:t>
      </w:r>
      <w:r>
        <w:rPr>
          <w:rFonts w:hint="eastAsia" w:ascii="仿宋_GB2312" w:hAnsi="方正小标宋简体" w:eastAsia="仿宋_GB2312"/>
          <w:color w:val="000000"/>
          <w:kern w:val="2"/>
          <w:sz w:val="32"/>
          <w:szCs w:val="32"/>
          <w:highlight w:val="none"/>
          <w:shd w:val="clear" w:color="auto" w:fill="auto"/>
          <w:lang w:eastAsia="zh-CN"/>
        </w:rPr>
        <w:t>甘肃省矿业联合会要实施跟踪核查等项目库管理工作</w:t>
      </w:r>
      <w:r>
        <w:rPr>
          <w:rFonts w:hint="eastAsia" w:ascii="仿宋_GB2312" w:hAnsi="方正小标宋简体" w:eastAsia="仿宋_GB2312"/>
          <w:color w:val="000000"/>
          <w:kern w:val="2"/>
          <w:sz w:val="32"/>
          <w:szCs w:val="32"/>
          <w:highlight w:val="none"/>
          <w:lang w:eastAsia="zh-CN"/>
        </w:rPr>
        <w:t>，</w:t>
      </w:r>
      <w:r>
        <w:rPr>
          <w:rFonts w:hint="eastAsia" w:ascii="仿宋_GB2312" w:hAnsi="方正小标宋简体" w:eastAsia="仿宋_GB2312"/>
          <w:color w:val="000000"/>
          <w:kern w:val="2"/>
          <w:sz w:val="32"/>
          <w:szCs w:val="32"/>
        </w:rPr>
        <w:t>如有需要可开展现场审核</w:t>
      </w:r>
      <w:r>
        <w:rPr>
          <w:rFonts w:hint="eastAsia" w:ascii="仿宋_GB2312" w:hAnsi="方正小标宋简体" w:eastAsia="仿宋_GB2312"/>
          <w:color w:val="000000"/>
          <w:kern w:val="2"/>
          <w:sz w:val="32"/>
          <w:szCs w:val="32"/>
          <w:lang w:eastAsia="zh-CN"/>
        </w:rPr>
        <w:t>。经过审核评价后，省自然资源厅确认最终入库项目名单。</w:t>
      </w:r>
    </w:p>
    <w:p>
      <w:pPr>
        <w:adjustRightInd/>
        <w:snapToGrid/>
        <w:spacing w:line="600" w:lineRule="exact"/>
        <w:ind w:firstLine="642" w:firstLineChars="200"/>
        <w:jc w:val="both"/>
        <w:rPr>
          <w:rFonts w:ascii="楷体_GB2312" w:hAnsi="方正小标宋简体" w:eastAsia="楷体_GB2312"/>
          <w:b/>
          <w:bCs/>
          <w:color w:val="000000"/>
          <w:kern w:val="2"/>
          <w:sz w:val="32"/>
          <w:szCs w:val="32"/>
        </w:rPr>
      </w:pPr>
      <w:r>
        <w:rPr>
          <w:rFonts w:hint="eastAsia" w:ascii="楷体_GB2312" w:hAnsi="方正小标宋简体" w:eastAsia="楷体_GB2312"/>
          <w:b/>
          <w:bCs/>
          <w:color w:val="000000"/>
          <w:kern w:val="2"/>
          <w:sz w:val="32"/>
          <w:szCs w:val="32"/>
        </w:rPr>
        <w:t>（三）公示推介</w:t>
      </w: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方正小标宋简体" w:eastAsia="仿宋_GB2312"/>
          <w:color w:val="000000"/>
          <w:kern w:val="2"/>
          <w:sz w:val="32"/>
          <w:szCs w:val="32"/>
          <w:lang w:eastAsia="zh-CN"/>
        </w:rPr>
        <w:t>项目确认结果</w:t>
      </w:r>
      <w:r>
        <w:rPr>
          <w:rFonts w:hint="eastAsia" w:ascii="仿宋_GB2312" w:hAnsi="方正小标宋简体" w:eastAsia="仿宋_GB2312"/>
          <w:color w:val="000000"/>
          <w:kern w:val="2"/>
          <w:sz w:val="32"/>
          <w:szCs w:val="32"/>
        </w:rPr>
        <w:t>在省自然资源厅</w:t>
      </w:r>
      <w:r>
        <w:rPr>
          <w:rFonts w:hint="eastAsia" w:ascii="仿宋_GB2312" w:hAnsi="方正小标宋简体" w:eastAsia="仿宋_GB2312"/>
          <w:color w:val="000000"/>
          <w:kern w:val="2"/>
          <w:sz w:val="32"/>
          <w:szCs w:val="32"/>
          <w:lang w:eastAsia="zh-CN"/>
        </w:rPr>
        <w:t>网站</w:t>
      </w:r>
      <w:r>
        <w:rPr>
          <w:rFonts w:hint="eastAsia" w:ascii="仿宋_GB2312" w:hAnsi="方正小标宋简体" w:eastAsia="仿宋_GB2312"/>
          <w:color w:val="000000"/>
          <w:kern w:val="2"/>
          <w:sz w:val="32"/>
          <w:szCs w:val="32"/>
        </w:rPr>
        <w:t>公示5个工作日，公示期满无异议后，纳入甘肃省绿色矿山建设投融资项目库。入库项目由省营商环境建设局纳入“</w:t>
      </w:r>
      <w:r>
        <w:rPr>
          <w:rFonts w:hint="eastAsia" w:ascii="仿宋_GB2312" w:hAnsi="仿宋_GB2312" w:eastAsia="仿宋_GB2312" w:cs="仿宋_GB2312"/>
          <w:color w:val="000000"/>
          <w:kern w:val="2"/>
          <w:sz w:val="32"/>
          <w:szCs w:val="32"/>
        </w:rPr>
        <w:t>甘肃信易贷”平台，由</w:t>
      </w:r>
      <w:r>
        <w:rPr>
          <w:rFonts w:hint="eastAsia" w:ascii="仿宋_GB2312" w:hAnsi="方正小标宋简体" w:eastAsia="仿宋_GB2312"/>
          <w:color w:val="000000"/>
          <w:kern w:val="2"/>
          <w:sz w:val="32"/>
          <w:szCs w:val="32"/>
        </w:rPr>
        <w:t>中国人民银行甘肃省分行向金融机构</w:t>
      </w:r>
      <w:r>
        <w:rPr>
          <w:rFonts w:hint="eastAsia" w:ascii="仿宋_GB2312" w:hAnsi="方正小标宋简体" w:eastAsia="仿宋_GB2312"/>
          <w:color w:val="000000"/>
          <w:kern w:val="2"/>
          <w:sz w:val="32"/>
          <w:szCs w:val="32"/>
          <w:lang w:eastAsia="zh-CN"/>
        </w:rPr>
        <w:t>分送推介，指导金融机构精准对接</w:t>
      </w:r>
      <w:r>
        <w:rPr>
          <w:rFonts w:hint="eastAsia" w:ascii="仿宋_GB2312" w:hAnsi="方正小标宋简体" w:eastAsia="仿宋_GB2312"/>
          <w:color w:val="000000"/>
          <w:kern w:val="2"/>
          <w:sz w:val="32"/>
          <w:szCs w:val="32"/>
        </w:rPr>
        <w:t>，为</w:t>
      </w:r>
      <w:r>
        <w:rPr>
          <w:rFonts w:hint="eastAsia" w:ascii="仿宋_GB2312" w:hAnsi="方正小标宋简体" w:eastAsia="仿宋_GB2312"/>
          <w:color w:val="000000"/>
          <w:kern w:val="2"/>
          <w:sz w:val="32"/>
          <w:szCs w:val="32"/>
          <w:lang w:eastAsia="zh-CN"/>
        </w:rPr>
        <w:t>绿色矿山企业</w:t>
      </w:r>
      <w:r>
        <w:rPr>
          <w:rFonts w:hint="eastAsia" w:ascii="仿宋_GB2312" w:hAnsi="方正小标宋简体" w:eastAsia="仿宋_GB2312"/>
          <w:color w:val="000000"/>
          <w:kern w:val="2"/>
          <w:sz w:val="32"/>
          <w:szCs w:val="32"/>
        </w:rPr>
        <w:t>提供</w:t>
      </w:r>
      <w:r>
        <w:rPr>
          <w:rFonts w:hint="eastAsia" w:ascii="仿宋_GB2312" w:hAnsi="仿宋_GB2312" w:eastAsia="仿宋_GB2312" w:cs="仿宋_GB2312"/>
          <w:color w:val="000000"/>
          <w:kern w:val="2"/>
          <w:sz w:val="32"/>
          <w:szCs w:val="32"/>
        </w:rPr>
        <w:t>特色化、差异化金融产品</w:t>
      </w:r>
      <w:r>
        <w:rPr>
          <w:rFonts w:hint="eastAsia" w:ascii="仿宋_GB2312" w:hAnsi="方正小标宋简体" w:eastAsia="仿宋_GB2312"/>
          <w:color w:val="000000"/>
          <w:kern w:val="2"/>
          <w:sz w:val="32"/>
          <w:szCs w:val="32"/>
        </w:rPr>
        <w:t>服务或资金支持。</w:t>
      </w:r>
    </w:p>
    <w:p>
      <w:pPr>
        <w:adjustRightInd/>
        <w:snapToGrid/>
        <w:spacing w:line="600" w:lineRule="exact"/>
        <w:ind w:firstLine="642" w:firstLineChars="200"/>
        <w:jc w:val="both"/>
        <w:rPr>
          <w:rFonts w:ascii="楷体_GB2312" w:hAnsi="方正小标宋简体" w:eastAsia="楷体_GB2312"/>
          <w:b/>
          <w:bCs/>
          <w:color w:val="000000"/>
          <w:kern w:val="2"/>
          <w:sz w:val="32"/>
          <w:szCs w:val="32"/>
        </w:rPr>
      </w:pPr>
      <w:r>
        <w:rPr>
          <w:rFonts w:hint="eastAsia" w:ascii="楷体_GB2312" w:hAnsi="方正小标宋简体" w:eastAsia="楷体_GB2312"/>
          <w:b/>
          <w:bCs/>
          <w:color w:val="000000"/>
          <w:kern w:val="2"/>
          <w:sz w:val="32"/>
          <w:szCs w:val="32"/>
        </w:rPr>
        <w:t>（四）动态管理</w:t>
      </w:r>
    </w:p>
    <w:p>
      <w:pPr>
        <w:adjustRightInd/>
        <w:snapToGrid/>
        <w:spacing w:line="600" w:lineRule="exact"/>
        <w:ind w:firstLine="640" w:firstLineChars="200"/>
        <w:jc w:val="both"/>
        <w:rPr>
          <w:rFonts w:hint="eastAsia" w:ascii="仿宋_GB2312" w:hAnsi="方正小标宋简体" w:eastAsia="仿宋_GB2312"/>
          <w:color w:val="000000"/>
          <w:kern w:val="2"/>
          <w:sz w:val="32"/>
          <w:szCs w:val="32"/>
          <w:lang w:eastAsia="zh-CN"/>
        </w:rPr>
      </w:pPr>
      <w:r>
        <w:rPr>
          <w:rFonts w:hint="eastAsia" w:ascii="仿宋_GB2312" w:hAnsi="方正小标宋简体" w:eastAsia="仿宋_GB2312"/>
          <w:color w:val="000000"/>
          <w:kern w:val="2"/>
          <w:sz w:val="32"/>
          <w:szCs w:val="32"/>
        </w:rPr>
        <w:t>根据国家、甘肃省绿色矿山</w:t>
      </w:r>
      <w:r>
        <w:rPr>
          <w:rFonts w:hint="eastAsia" w:ascii="仿宋_GB2312" w:hAnsi="方正小标宋简体" w:eastAsia="仿宋_GB2312"/>
          <w:color w:val="000000"/>
          <w:kern w:val="2"/>
          <w:sz w:val="32"/>
          <w:szCs w:val="32"/>
          <w:lang w:eastAsia="zh-CN"/>
        </w:rPr>
        <w:t>建设</w:t>
      </w:r>
      <w:r>
        <w:rPr>
          <w:rFonts w:hint="eastAsia" w:ascii="仿宋_GB2312" w:hAnsi="方正小标宋简体" w:eastAsia="仿宋_GB2312"/>
          <w:color w:val="000000"/>
          <w:kern w:val="2"/>
          <w:sz w:val="32"/>
          <w:szCs w:val="32"/>
        </w:rPr>
        <w:t>管理相关法律法规、政策体系、制度标准等，</w:t>
      </w:r>
      <w:r>
        <w:rPr>
          <w:rFonts w:hint="eastAsia" w:ascii="仿宋_GB2312" w:hAnsi="方正小标宋简体" w:eastAsia="仿宋_GB2312"/>
          <w:color w:val="000000"/>
          <w:kern w:val="2"/>
          <w:sz w:val="32"/>
          <w:szCs w:val="32"/>
          <w:lang w:eastAsia="zh-CN"/>
        </w:rPr>
        <w:t>结合甘肃省矿业发展实际，</w:t>
      </w:r>
      <w:r>
        <w:rPr>
          <w:rFonts w:hint="eastAsia" w:ascii="仿宋_GB2312" w:hAnsi="方正小标宋简体" w:eastAsia="仿宋_GB2312"/>
          <w:color w:val="000000"/>
          <w:kern w:val="2"/>
          <w:sz w:val="32"/>
          <w:szCs w:val="32"/>
        </w:rPr>
        <w:t>及时</w:t>
      </w:r>
      <w:r>
        <w:rPr>
          <w:rFonts w:hint="eastAsia" w:ascii="仿宋_GB2312" w:hAnsi="方正小标宋简体" w:eastAsia="仿宋_GB2312"/>
          <w:color w:val="000000"/>
          <w:kern w:val="2"/>
          <w:sz w:val="32"/>
          <w:szCs w:val="32"/>
          <w:lang w:eastAsia="zh-CN"/>
        </w:rPr>
        <w:t>对项目入库指南和项目库进行调整。</w:t>
      </w:r>
      <w:r>
        <w:rPr>
          <w:rFonts w:hint="eastAsia" w:ascii="仿宋_GB2312" w:hAnsi="方正小标宋简体" w:eastAsia="仿宋_GB2312"/>
          <w:color w:val="000000"/>
          <w:kern w:val="2"/>
          <w:sz w:val="32"/>
          <w:szCs w:val="32"/>
        </w:rPr>
        <w:t>对已入库项目进行动态评估和跟踪管理</w:t>
      </w:r>
      <w:r>
        <w:rPr>
          <w:rFonts w:hint="eastAsia" w:ascii="仿宋_GB2312" w:hAnsi="方正小标宋简体" w:eastAsia="仿宋_GB2312"/>
          <w:color w:val="000000"/>
          <w:kern w:val="2"/>
          <w:sz w:val="32"/>
          <w:szCs w:val="32"/>
          <w:lang w:eastAsia="zh-CN"/>
        </w:rPr>
        <w:t>，</w:t>
      </w:r>
      <w:r>
        <w:rPr>
          <w:rFonts w:hint="eastAsia" w:ascii="仿宋_GB2312" w:hAnsi="方正小标宋简体" w:eastAsia="仿宋_GB2312"/>
          <w:color w:val="000000"/>
          <w:kern w:val="2"/>
          <w:sz w:val="32"/>
          <w:szCs w:val="32"/>
        </w:rPr>
        <w:t>若入库项目发生建设主体、内容、规模等重大变更，</w:t>
      </w:r>
      <w:r>
        <w:rPr>
          <w:rFonts w:hint="eastAsia" w:ascii="仿宋_GB2312" w:hAnsi="方正小标宋简体" w:eastAsia="仿宋_GB2312"/>
          <w:color w:val="000000"/>
          <w:kern w:val="2"/>
          <w:sz w:val="32"/>
          <w:szCs w:val="32"/>
          <w:lang w:eastAsia="zh-CN"/>
        </w:rPr>
        <w:t>需要及时</w:t>
      </w:r>
      <w:r>
        <w:rPr>
          <w:rFonts w:hint="eastAsia" w:ascii="仿宋_GB2312" w:hAnsi="方正小标宋简体" w:eastAsia="仿宋_GB2312"/>
          <w:color w:val="000000"/>
          <w:kern w:val="2"/>
          <w:sz w:val="32"/>
          <w:szCs w:val="32"/>
        </w:rPr>
        <w:t>报备和</w:t>
      </w:r>
      <w:r>
        <w:rPr>
          <w:rFonts w:hint="eastAsia" w:ascii="仿宋_GB2312" w:hAnsi="方正小标宋简体" w:eastAsia="仿宋_GB2312"/>
          <w:color w:val="000000"/>
          <w:kern w:val="2"/>
          <w:sz w:val="32"/>
          <w:szCs w:val="32"/>
          <w:lang w:eastAsia="zh-CN"/>
        </w:rPr>
        <w:t>重新</w:t>
      </w:r>
      <w:r>
        <w:rPr>
          <w:rFonts w:hint="eastAsia" w:ascii="仿宋_GB2312" w:hAnsi="方正小标宋简体" w:eastAsia="仿宋_GB2312"/>
          <w:color w:val="000000"/>
          <w:kern w:val="2"/>
          <w:sz w:val="32"/>
          <w:szCs w:val="32"/>
        </w:rPr>
        <w:t>评估。若因重大变更导致不符合入库要求，将移出项目库。入库结果有效期为公示结束之日起2年，有效期届满前30日内，矿山企业可提</w:t>
      </w:r>
      <w:r>
        <w:rPr>
          <w:rFonts w:hint="eastAsia" w:ascii="仿宋_GB2312" w:hAnsi="方正小标宋简体" w:eastAsia="仿宋_GB2312"/>
          <w:color w:val="000000"/>
          <w:kern w:val="2"/>
          <w:sz w:val="32"/>
          <w:szCs w:val="32"/>
          <w:lang w:eastAsia="zh-CN"/>
        </w:rPr>
        <w:t>交延期申请。</w:t>
      </w:r>
    </w:p>
    <w:p>
      <w:pPr>
        <w:adjustRightInd/>
        <w:snapToGrid/>
        <w:spacing w:line="600" w:lineRule="exact"/>
        <w:ind w:firstLine="640" w:firstLineChars="200"/>
        <w:jc w:val="both"/>
        <w:rPr>
          <w:rFonts w:ascii="仿宋_GB2312" w:hAnsi="方正小标宋简体" w:eastAsia="仿宋_GB2312"/>
          <w:color w:val="000000"/>
          <w:kern w:val="2"/>
          <w:sz w:val="32"/>
          <w:szCs w:val="32"/>
        </w:rPr>
      </w:pPr>
    </w:p>
    <w:p>
      <w:pPr>
        <w:adjustRightInd/>
        <w:snapToGrid/>
        <w:spacing w:line="600" w:lineRule="exact"/>
        <w:ind w:firstLine="640" w:firstLineChars="200"/>
        <w:jc w:val="both"/>
        <w:rPr>
          <w:rFonts w:ascii="仿宋_GB2312" w:hAnsi="方正小标宋简体" w:eastAsia="仿宋_GB2312"/>
          <w:color w:val="000000"/>
          <w:kern w:val="2"/>
          <w:sz w:val="32"/>
          <w:szCs w:val="32"/>
        </w:rPr>
      </w:pPr>
      <w:r>
        <w:rPr>
          <w:rFonts w:hint="eastAsia" w:ascii="仿宋_GB2312" w:hAnsi="方正小标宋简体" w:eastAsia="仿宋_GB2312"/>
          <w:color w:val="000000"/>
          <w:kern w:val="2"/>
          <w:sz w:val="32"/>
          <w:szCs w:val="32"/>
        </w:rPr>
        <w:t>附</w:t>
      </w:r>
      <w:r>
        <w:rPr>
          <w:rFonts w:hint="eastAsia" w:ascii="仿宋_GB2312" w:hAnsi="方正小标宋简体" w:eastAsia="仿宋_GB2312"/>
          <w:color w:val="000000"/>
          <w:kern w:val="2"/>
          <w:sz w:val="32"/>
          <w:szCs w:val="32"/>
          <w:lang w:eastAsia="zh-CN"/>
        </w:rPr>
        <w:t>件</w:t>
      </w:r>
      <w:r>
        <w:rPr>
          <w:rFonts w:hint="eastAsia" w:ascii="仿宋_GB2312" w:hAnsi="方正小标宋简体" w:eastAsia="仿宋_GB2312"/>
          <w:color w:val="000000"/>
          <w:kern w:val="2"/>
          <w:sz w:val="32"/>
          <w:szCs w:val="32"/>
        </w:rPr>
        <w:t>：1.甘肃省绿色矿山建设投融资项目目录清单</w:t>
      </w:r>
    </w:p>
    <w:p>
      <w:pPr>
        <w:spacing w:line="600" w:lineRule="exact"/>
        <w:ind w:firstLine="640" w:firstLineChars="200"/>
        <w:rPr>
          <w:rFonts w:ascii="仿宋_GB2312" w:hAnsi="方正小标宋简体" w:eastAsia="仿宋_GB2312"/>
          <w:color w:val="000000"/>
          <w:sz w:val="32"/>
          <w:szCs w:val="32"/>
        </w:rPr>
        <w:sectPr>
          <w:footerReference r:id="rId5" w:type="default"/>
          <w:pgSz w:w="11906" w:h="16838"/>
          <w:pgMar w:top="1417" w:right="1417" w:bottom="1417" w:left="1417" w:header="851" w:footer="992" w:gutter="0"/>
          <w:cols w:space="425" w:num="1"/>
          <w:docGrid w:type="lines" w:linePitch="312" w:charSpace="0"/>
        </w:sectPr>
      </w:pPr>
      <w:r>
        <w:rPr>
          <w:rFonts w:hint="eastAsia" w:ascii="仿宋_GB2312" w:hAnsi="方正小标宋简体" w:eastAsia="仿宋_GB2312"/>
          <w:color w:val="000000"/>
          <w:kern w:val="2"/>
          <w:sz w:val="32"/>
          <w:szCs w:val="32"/>
        </w:rPr>
        <w:t xml:space="preserve">      2.甘肃省绿色矿山建设投融资项目入库申请表</w:t>
      </w:r>
    </w:p>
    <w:p>
      <w:pPr>
        <w:widowControl/>
        <w:adjustRightInd/>
        <w:snapToGrid/>
        <w:spacing w:line="240" w:lineRule="auto"/>
        <w:ind w:firstLine="0" w:firstLineChars="0"/>
        <w:jc w:val="left"/>
        <w:rPr>
          <w:rFonts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rPr>
        <w:t>附</w:t>
      </w:r>
      <w:r>
        <w:rPr>
          <w:rFonts w:hint="eastAsia" w:ascii="黑体" w:hAnsi="黑体" w:eastAsia="黑体" w:cs="黑体"/>
          <w:b w:val="0"/>
          <w:bCs w:val="0"/>
          <w:color w:val="000000"/>
          <w:kern w:val="2"/>
          <w:sz w:val="32"/>
          <w:szCs w:val="32"/>
          <w:lang w:eastAsia="zh-CN"/>
        </w:rPr>
        <w:t>件</w:t>
      </w:r>
      <w:r>
        <w:rPr>
          <w:rFonts w:hint="eastAsia" w:ascii="Nimbus Roman No9 L" w:hAnsi="Nimbus Roman No9 L" w:eastAsia="黑体" w:cs="Nimbus Roman No9 L"/>
          <w:b w:val="0"/>
          <w:bCs w:val="0"/>
          <w:kern w:val="2"/>
          <w:sz w:val="32"/>
          <w:szCs w:val="32"/>
        </w:rPr>
        <w:t>1</w:t>
      </w:r>
    </w:p>
    <w:tbl>
      <w:tblPr>
        <w:tblStyle w:val="6"/>
        <w:tblW w:w="0" w:type="auto"/>
        <w:jc w:val="center"/>
        <w:tblLayout w:type="fixed"/>
        <w:tblCellMar>
          <w:top w:w="0" w:type="dxa"/>
          <w:left w:w="108" w:type="dxa"/>
          <w:bottom w:w="0" w:type="dxa"/>
          <w:right w:w="108" w:type="dxa"/>
        </w:tblCellMar>
      </w:tblPr>
      <w:tblGrid>
        <w:gridCol w:w="788"/>
        <w:gridCol w:w="790"/>
        <w:gridCol w:w="5390"/>
        <w:gridCol w:w="5731"/>
        <w:gridCol w:w="1521"/>
      </w:tblGrid>
      <w:tr>
        <w:tblPrEx>
          <w:tblCellMar>
            <w:top w:w="0" w:type="dxa"/>
            <w:left w:w="108" w:type="dxa"/>
            <w:bottom w:w="0" w:type="dxa"/>
            <w:right w:w="108" w:type="dxa"/>
          </w:tblCellMar>
        </w:tblPrEx>
        <w:trPr>
          <w:cantSplit/>
          <w:trHeight w:val="560" w:hRule="atLeast"/>
          <w:tblHeader/>
          <w:jc w:val="center"/>
        </w:trPr>
        <w:tc>
          <w:tcPr>
            <w:tcW w:w="14220" w:type="dxa"/>
            <w:gridSpan w:val="5"/>
            <w:tcBorders>
              <w:top w:val="nil"/>
              <w:left w:val="nil"/>
              <w:bottom w:val="single" w:color="000000" w:sz="4" w:space="0"/>
              <w:right w:val="nil"/>
            </w:tcBorders>
            <w:vAlign w:val="center"/>
          </w:tcPr>
          <w:p>
            <w:pPr>
              <w:widowControl/>
              <w:adjustRightInd w:val="0"/>
              <w:snapToGrid w:val="0"/>
              <w:spacing w:line="240" w:lineRule="auto"/>
              <w:ind w:firstLine="0" w:firstLineChars="0"/>
              <w:jc w:val="center"/>
              <w:textAlignment w:val="center"/>
              <w:rPr>
                <w:rFonts w:ascii="仿宋" w:hAnsi="仿宋" w:eastAsia="仿宋" w:cs="仿宋"/>
                <w:color w:val="000000"/>
                <w:kern w:val="2"/>
                <w:szCs w:val="21"/>
              </w:rPr>
            </w:pPr>
            <w:r>
              <w:rPr>
                <w:rFonts w:hint="eastAsia" w:ascii="方正小标宋简体" w:hAnsi="方正小标宋简体" w:eastAsia="方正小标宋简体" w:cs="方正小标宋简体"/>
                <w:b w:val="0"/>
                <w:bCs w:val="0"/>
                <w:color w:val="000000"/>
                <w:kern w:val="0"/>
                <w:sz w:val="36"/>
                <w:szCs w:val="36"/>
                <w:lang w:bidi="ar"/>
              </w:rPr>
              <w:t>甘肃省绿色矿山建设投融资项目目录清单</w:t>
            </w:r>
          </w:p>
        </w:tc>
      </w:tr>
      <w:tr>
        <w:tblPrEx>
          <w:tblCellMar>
            <w:top w:w="0" w:type="dxa"/>
            <w:left w:w="108" w:type="dxa"/>
            <w:bottom w:w="0" w:type="dxa"/>
            <w:right w:w="108" w:type="dxa"/>
          </w:tblCellMar>
        </w:tblPrEx>
        <w:trPr>
          <w:cantSplit/>
          <w:trHeight w:val="510" w:hRule="atLeast"/>
          <w:tblHeader/>
          <w:jc w:val="center"/>
        </w:trPr>
        <w:tc>
          <w:tcPr>
            <w:tcW w:w="788"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textAlignment w:val="center"/>
              <w:rPr>
                <w:rFonts w:hint="eastAsia" w:ascii="黑体" w:hAnsi="黑体" w:eastAsia="黑体" w:cs="黑体"/>
                <w:b w:val="0"/>
                <w:bCs w:val="0"/>
                <w:color w:val="000000"/>
                <w:kern w:val="0"/>
                <w:szCs w:val="21"/>
                <w:lang w:bidi="ar"/>
              </w:rPr>
            </w:pPr>
            <w:r>
              <w:rPr>
                <w:rFonts w:hint="eastAsia" w:ascii="黑体" w:hAnsi="黑体" w:eastAsia="黑体" w:cs="黑体"/>
                <w:b w:val="0"/>
                <w:bCs w:val="0"/>
                <w:color w:val="000000"/>
                <w:kern w:val="0"/>
                <w:szCs w:val="21"/>
                <w:lang w:bidi="ar"/>
              </w:rPr>
              <w:t>一级</w:t>
            </w:r>
          </w:p>
          <w:p>
            <w:pPr>
              <w:widowControl/>
              <w:adjustRightInd w:val="0"/>
              <w:snapToGrid w:val="0"/>
              <w:spacing w:line="240" w:lineRule="auto"/>
              <w:ind w:firstLine="0" w:firstLineChars="0"/>
              <w:jc w:val="center"/>
              <w:textAlignment w:val="center"/>
              <w:rPr>
                <w:rFonts w:hint="eastAsia" w:ascii="黑体" w:hAnsi="黑体" w:eastAsia="黑体" w:cs="黑体"/>
                <w:b w:val="0"/>
                <w:bCs w:val="0"/>
                <w:color w:val="000000"/>
                <w:kern w:val="2"/>
                <w:szCs w:val="21"/>
              </w:rPr>
            </w:pPr>
            <w:r>
              <w:rPr>
                <w:rFonts w:hint="eastAsia" w:ascii="黑体" w:hAnsi="黑体" w:eastAsia="黑体" w:cs="黑体"/>
                <w:b w:val="0"/>
                <w:bCs w:val="0"/>
                <w:color w:val="000000"/>
                <w:kern w:val="0"/>
                <w:szCs w:val="21"/>
                <w:lang w:bidi="ar"/>
              </w:rPr>
              <w:t>分类</w:t>
            </w:r>
          </w:p>
        </w:tc>
        <w:tc>
          <w:tcPr>
            <w:tcW w:w="790"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eastAsia" w:ascii="黑体" w:hAnsi="黑体" w:eastAsia="黑体" w:cs="黑体"/>
                <w:b w:val="0"/>
                <w:bCs w:val="0"/>
                <w:color w:val="000000"/>
                <w:kern w:val="2"/>
                <w:szCs w:val="21"/>
              </w:rPr>
            </w:pPr>
            <w:r>
              <w:rPr>
                <w:rFonts w:hint="eastAsia" w:ascii="黑体" w:hAnsi="黑体" w:eastAsia="黑体" w:cs="黑体"/>
                <w:b w:val="0"/>
                <w:bCs w:val="0"/>
                <w:color w:val="000000"/>
                <w:kern w:val="0"/>
                <w:szCs w:val="21"/>
                <w:lang w:bidi="ar"/>
              </w:rPr>
              <w:t>二级分类</w:t>
            </w:r>
          </w:p>
        </w:tc>
        <w:tc>
          <w:tcPr>
            <w:tcW w:w="5390"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eastAsia" w:ascii="黑体" w:hAnsi="黑体" w:eastAsia="黑体" w:cs="黑体"/>
                <w:b w:val="0"/>
                <w:bCs w:val="0"/>
                <w:color w:val="000000"/>
                <w:kern w:val="2"/>
                <w:szCs w:val="21"/>
              </w:rPr>
            </w:pPr>
            <w:r>
              <w:rPr>
                <w:rFonts w:hint="eastAsia" w:ascii="黑体" w:hAnsi="黑体" w:eastAsia="黑体" w:cs="黑体"/>
                <w:b w:val="0"/>
                <w:bCs w:val="0"/>
                <w:color w:val="000000"/>
                <w:kern w:val="0"/>
                <w:szCs w:val="21"/>
                <w:lang w:bidi="ar"/>
              </w:rPr>
              <w:t>项目范围类别</w:t>
            </w:r>
          </w:p>
        </w:tc>
        <w:tc>
          <w:tcPr>
            <w:tcW w:w="5731" w:type="dxa"/>
            <w:tcBorders>
              <w:top w:val="nil"/>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黑体" w:hAnsi="黑体" w:eastAsia="黑体" w:cs="黑体"/>
                <w:b w:val="0"/>
                <w:bCs w:val="0"/>
                <w:color w:val="000000"/>
                <w:kern w:val="0"/>
                <w:szCs w:val="21"/>
                <w:lang w:bidi="ar"/>
              </w:rPr>
            </w:pPr>
            <w:r>
              <w:rPr>
                <w:rFonts w:hint="eastAsia" w:ascii="黑体" w:hAnsi="黑体" w:eastAsia="黑体" w:cs="黑体"/>
                <w:b w:val="0"/>
                <w:bCs w:val="0"/>
                <w:color w:val="000000"/>
                <w:kern w:val="0"/>
                <w:szCs w:val="21"/>
                <w:lang w:bidi="ar"/>
              </w:rPr>
              <w:t>需符合的法律政策及规范标准</w:t>
            </w:r>
          </w:p>
        </w:tc>
        <w:tc>
          <w:tcPr>
            <w:tcW w:w="1521" w:type="dxa"/>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eastAsia" w:ascii="黑体" w:hAnsi="黑体" w:eastAsia="黑体" w:cs="黑体"/>
                <w:b w:val="0"/>
                <w:bCs w:val="0"/>
                <w:color w:val="000000"/>
                <w:kern w:val="2"/>
                <w:szCs w:val="21"/>
              </w:rPr>
            </w:pPr>
            <w:r>
              <w:rPr>
                <w:rFonts w:hint="eastAsia" w:ascii="黑体" w:hAnsi="黑体" w:eastAsia="黑体" w:cs="黑体"/>
                <w:b w:val="0"/>
                <w:bCs w:val="0"/>
                <w:color w:val="000000"/>
                <w:kern w:val="0"/>
                <w:szCs w:val="21"/>
                <w:lang w:bidi="ar"/>
              </w:rPr>
              <w:t>来源及依据</w:t>
            </w:r>
          </w:p>
        </w:tc>
      </w:tr>
      <w:tr>
        <w:tblPrEx>
          <w:tblCellMar>
            <w:top w:w="0" w:type="dxa"/>
            <w:left w:w="108" w:type="dxa"/>
            <w:bottom w:w="0" w:type="dxa"/>
            <w:right w:w="108" w:type="dxa"/>
          </w:tblCellMar>
        </w:tblPrEx>
        <w:trPr>
          <w:cantSplit/>
          <w:trHeight w:val="850"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distribute"/>
              <w:textAlignment w:val="center"/>
              <w:rPr>
                <w:rFonts w:hint="eastAsia" w:eastAsia="宋体"/>
                <w:kern w:val="2"/>
                <w:szCs w:val="24"/>
              </w:rPr>
            </w:pPr>
            <w:r>
              <w:rPr>
                <w:rFonts w:hint="eastAsia" w:eastAsia="宋体"/>
                <w:kern w:val="2"/>
                <w:szCs w:val="24"/>
                <w:lang w:eastAsia="zh-CN"/>
              </w:rPr>
              <w:t>一、</w:t>
            </w:r>
            <w:r>
              <w:rPr>
                <w:rFonts w:hint="eastAsia" w:eastAsia="宋体"/>
                <w:kern w:val="2"/>
                <w:szCs w:val="24"/>
              </w:rPr>
              <w:t>矿区环境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Times New Roman" w:hAnsi="Times New Roman" w:eastAsia="宋体" w:cs="Times New Roman"/>
                <w:kern w:val="2"/>
                <w:sz w:val="21"/>
                <w:szCs w:val="24"/>
                <w:lang w:val="en-US" w:eastAsia="zh-CN" w:bidi="ar-SA"/>
              </w:rPr>
            </w:pP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eastAsia="zh-CN" w:bidi="ar"/>
              </w:rPr>
              <w:t>项）</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adjustRightInd w:val="0"/>
              <w:snapToGrid w:val="0"/>
              <w:spacing w:line="240" w:lineRule="auto"/>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矿容矿貌</w:t>
            </w:r>
          </w:p>
          <w:p>
            <w:pPr>
              <w:keepNext w:val="0"/>
              <w:keepLines w:val="0"/>
              <w:pageBreakBefore w:val="0"/>
              <w:widowControl/>
              <w:numPr>
                <w:numId w:val="0"/>
              </w:numPr>
              <w:kinsoku/>
              <w:wordWrap/>
              <w:overflowPunct/>
              <w:topLinePunct w:val="0"/>
              <w:autoSpaceDE/>
              <w:autoSpaceDN/>
              <w:bidi w:val="0"/>
              <w:adjustRightInd w:val="0"/>
              <w:snapToGrid w:val="0"/>
              <w:spacing w:line="240" w:lineRule="auto"/>
              <w:ind w:left="-210" w:leftChars="-100" w:right="-210" w:rightChars="-100"/>
              <w:jc w:val="center"/>
              <w:textAlignment w:val="center"/>
              <w:rPr>
                <w:rFonts w:ascii="仿宋" w:hAnsi="仿宋" w:eastAsia="仿宋" w:cs="仿宋"/>
                <w:color w:val="000000"/>
                <w:kern w:val="2"/>
                <w:szCs w:val="21"/>
              </w:rPr>
            </w:pP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4</w:t>
            </w:r>
            <w:r>
              <w:rPr>
                <w:rFonts w:hint="eastAsia" w:ascii="仿宋" w:hAnsi="仿宋" w:eastAsia="仿宋" w:cs="仿宋"/>
                <w:color w:val="000000"/>
                <w:kern w:val="0"/>
                <w:szCs w:val="21"/>
                <w:lang w:eastAsia="zh-CN" w:bidi="ar"/>
              </w:rPr>
              <w:t>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val="en-US" w:eastAsia="zh-CN" w:bidi="ar"/>
              </w:rPr>
              <w:t>1</w:t>
            </w: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绿色建筑建设和运营：</w:t>
            </w:r>
            <w:r>
              <w:rPr>
                <w:rFonts w:hint="eastAsia" w:ascii="仿宋" w:hAnsi="仿宋" w:eastAsia="仿宋" w:cs="仿宋"/>
                <w:color w:val="000000"/>
                <w:kern w:val="2"/>
                <w:sz w:val="21"/>
                <w:szCs w:val="21"/>
                <w:u w:val="none"/>
                <w:lang w:bidi="ar"/>
              </w:rPr>
              <w:t>绿色建筑的设计、建造、综合性能调试、交付培训、智慧运维等。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《绿色建筑标识管理办法》（建标规〔2021〕1号）、《绿色建筑评价标准》(GB/T 50378)、《绿色工业建筑评价标准》(GB/T 50878)、《绿色建筑运行维护技术规范》(JGJ/T 391)、《建筑绿色运营技木规程》</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《绿色低碳转型产业指导目录（2024年版）》6.1.1</w:t>
            </w:r>
          </w:p>
        </w:tc>
      </w:tr>
      <w:tr>
        <w:tblPrEx>
          <w:tblCellMar>
            <w:top w:w="0" w:type="dxa"/>
            <w:left w:w="108" w:type="dxa"/>
            <w:bottom w:w="0" w:type="dxa"/>
            <w:right w:w="108" w:type="dxa"/>
          </w:tblCellMar>
        </w:tblPrEx>
        <w:trPr>
          <w:cantSplit/>
          <w:trHeight w:val="85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0"/>
                <w:szCs w:val="21"/>
                <w:lang w:bidi="ar"/>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0"/>
                <w:szCs w:val="21"/>
                <w:lang w:bidi="ar"/>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val="en-US" w:eastAsia="zh-CN" w:bidi="ar"/>
              </w:rPr>
              <w:t>2</w:t>
            </w: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超低能耗建筑建设和运营：</w:t>
            </w:r>
            <w:r>
              <w:rPr>
                <w:rFonts w:hint="eastAsia" w:ascii="仿宋" w:hAnsi="仿宋" w:eastAsia="仿宋" w:cs="仿宋"/>
                <w:color w:val="000000"/>
                <w:kern w:val="2"/>
                <w:sz w:val="21"/>
                <w:szCs w:val="21"/>
                <w:u w:val="none"/>
                <w:lang w:bidi="ar"/>
              </w:rPr>
              <w:t>超低能耗、近零能耗、零能耗、低碳、零碳建筑等能耗和碳排放水平很低的建筑的设计、建造和运行等。上述均须符合有关法规政策和国家、地方、行业相关标准规范要求。绿色建筑达到一星级及以上标准。</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《近零能耗建筑技术标准》(GB/T 51350)、《建筑碳排放计算标准》(GB/T 51366)、《绿色建造技术导则（试行）》（建办质〔2021〕9号）、《建筑工程绿色施工规范》(GB/T50905)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《绿色低碳转型产业指导目录（2024年版）》6.1.2</w:t>
            </w:r>
          </w:p>
        </w:tc>
      </w:tr>
      <w:tr>
        <w:tblPrEx>
          <w:tblCellMar>
            <w:top w:w="0" w:type="dxa"/>
            <w:left w:w="108" w:type="dxa"/>
            <w:bottom w:w="0" w:type="dxa"/>
            <w:right w:w="108" w:type="dxa"/>
          </w:tblCellMar>
        </w:tblPrEx>
        <w:trPr>
          <w:cantSplit/>
          <w:trHeight w:val="1984"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val="en-US" w:eastAsia="zh-CN" w:bidi="ar"/>
              </w:rPr>
              <w:t>3</w:t>
            </w: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既有建筑绿色化改造和运营：</w:t>
            </w:r>
            <w:r>
              <w:rPr>
                <w:rFonts w:hint="eastAsia" w:ascii="仿宋" w:hAnsi="仿宋" w:eastAsia="仿宋" w:cs="仿宋"/>
                <w:color w:val="000000"/>
                <w:kern w:val="2"/>
                <w:sz w:val="21"/>
                <w:szCs w:val="21"/>
                <w:u w:val="none"/>
                <w:lang w:bidi="ar"/>
              </w:rPr>
              <w:t>矿区生产区、生活区、管理区提高建筑外墙、屋顶、门窗等围护结构热工性能的改造活动，提高采暖、照明、通风等建筑用能系统效率的改造活动，以建筑中央空调系统、商务产业园区等为重点开展的绿色高效制冷改造活动，提高采暖、生活热水、炊事等建筑终端用能电气化水平的改造活动，提高建筑智能化运行水平的改造活动，采用综合性能调适、能耗监测、设备设施精细化管理等措施实现建筑高效低碳运营的活动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公共建筑节能改造技术规范》(JGJ176)、《既有建筑维护与改造通用规范》(GB55022)、《既有居住建筑节能改造技术规程》(JGJ/T129)、《既有建筑绿色改造评价标准》(GB/T51141)、《既有社区绿色化改造技术标准》(JGJ/T425)、《空气调节系统经济运行》(GB/T17981)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《绿色低碳转型产业指导目录（2024年版）》6.1.3</w:t>
            </w:r>
          </w:p>
        </w:tc>
      </w:tr>
      <w:tr>
        <w:tblPrEx>
          <w:tblCellMar>
            <w:top w:w="0" w:type="dxa"/>
            <w:left w:w="108" w:type="dxa"/>
            <w:bottom w:w="0" w:type="dxa"/>
            <w:right w:w="108" w:type="dxa"/>
          </w:tblCellMar>
        </w:tblPrEx>
        <w:trPr>
          <w:cantSplit/>
          <w:trHeight w:val="3013"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新建绿色建筑：</w:t>
            </w:r>
            <w:r>
              <w:rPr>
                <w:rFonts w:hint="eastAsia" w:ascii="仿宋" w:hAnsi="仿宋" w:eastAsia="仿宋" w:cs="仿宋"/>
                <w:color w:val="000000"/>
                <w:kern w:val="2"/>
                <w:sz w:val="21"/>
                <w:szCs w:val="21"/>
                <w:u w:val="none"/>
                <w:lang w:bidi="ar"/>
              </w:rPr>
              <w:t>矿区生产区、生活区、管理区新建超低能耗建筑、绿色建筑、装配式建筑等低碳建筑；建筑可再生能源应用改造活动（包括利用建筑屋顶、墙面安装太阳能光伏发电装置向建筑提供电力，以及利用热泵、太阳能热水装置等设施向建筑供冷、供热、供热水等建筑可再生能源应用系统的设计、建设及可再生能源建筑应用改造活动）；建筑工程智能建造活动（包括综合应用数字设计、智能生产、智能施工等技术的智能建造试点示范工程项目建设，智能化装备集成平台、远程控制平台研发和租赁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《建筑光伏系统应用技术标准》(GB/T 51368)、《太阳能光伏玻璃幕墙电气设计规范》(JGJ/T 365)、《民用建筑大阳能热水系统应用技术标准》(GB 50364)、《太阳能供热采暖工程技术标准》(GB50495)、《可再生能源建筑应用工程评价标准》(GB/T 50801)、《户式空气源热泵供暖应用技术导则》（建标〔2020〕66号）、《地源热泵系统工程技术规范》(GB 50366)、《柔性直流输电换流站设计标准》(GB/T 51381)、《柔性直流输电成套设计标准》(GB/T 51397)</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《绿色低碳转型产业指导目录（2024年版）》6.1.5，6.1.6，6.1.7</w:t>
            </w:r>
          </w:p>
        </w:tc>
      </w:tr>
      <w:tr>
        <w:tblPrEx>
          <w:tblCellMar>
            <w:top w:w="0" w:type="dxa"/>
            <w:left w:w="108" w:type="dxa"/>
            <w:bottom w:w="0" w:type="dxa"/>
            <w:right w:w="108" w:type="dxa"/>
          </w:tblCellMar>
        </w:tblPrEx>
        <w:trPr>
          <w:cantSplit/>
          <w:trHeight w:val="1454"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adjustRightInd w:val="0"/>
              <w:snapToGrid w:val="0"/>
              <w:spacing w:line="240" w:lineRule="auto"/>
              <w:ind w:firstLine="0" w:firstLineChars="0"/>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2.</w:t>
            </w:r>
            <w:r>
              <w:rPr>
                <w:rFonts w:hint="eastAsia" w:ascii="仿宋" w:hAnsi="仿宋" w:eastAsia="仿宋" w:cs="仿宋"/>
                <w:color w:val="000000"/>
                <w:kern w:val="0"/>
                <w:szCs w:val="21"/>
                <w:lang w:bidi="ar"/>
              </w:rPr>
              <w:t>绿色交通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eastAsia" w:ascii="仿宋" w:hAnsi="仿宋" w:eastAsia="仿宋" w:cs="仿宋"/>
                <w:color w:val="000000"/>
                <w:kern w:val="2"/>
                <w:szCs w:val="21"/>
                <w:lang w:eastAsia="zh-CN"/>
              </w:rPr>
            </w:pP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1项</w:t>
            </w:r>
            <w:r>
              <w:rPr>
                <w:rFonts w:hint="eastAsia" w:ascii="仿宋" w:hAnsi="仿宋" w:eastAsia="仿宋" w:cs="仿宋"/>
                <w:color w:val="000000"/>
                <w:kern w:val="0"/>
                <w:szCs w:val="21"/>
                <w:lang w:eastAsia="zh-CN" w:bidi="ar"/>
              </w:rPr>
              <w:t>）</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bidi="ar"/>
              </w:rPr>
              <w:t>绿色公路建设：</w:t>
            </w:r>
            <w:r>
              <w:rPr>
                <w:rFonts w:hint="eastAsia" w:ascii="仿宋" w:hAnsi="仿宋" w:eastAsia="仿宋" w:cs="仿宋"/>
                <w:color w:val="000000"/>
                <w:kern w:val="2"/>
                <w:sz w:val="21"/>
                <w:szCs w:val="21"/>
                <w:u w:val="none"/>
                <w:lang w:bidi="ar"/>
              </w:rPr>
              <w:t>矿区道路及基础设施绿色低碳化改造。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《绿色公路建设技术指南》、《绿色交通设施评估技术要求》(JT/T 1199)等相关标准规范要求</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《绿色低碳转型产业指导目录（2024年版）》6.2.1</w:t>
            </w:r>
          </w:p>
        </w:tc>
      </w:tr>
      <w:tr>
        <w:tblPrEx>
          <w:tblCellMar>
            <w:top w:w="0" w:type="dxa"/>
            <w:left w:w="108" w:type="dxa"/>
            <w:bottom w:w="0" w:type="dxa"/>
            <w:right w:w="108" w:type="dxa"/>
          </w:tblCellMar>
        </w:tblPrEx>
        <w:trPr>
          <w:cantSplit/>
          <w:trHeight w:val="308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adjustRightInd w:val="0"/>
              <w:snapToGrid w:val="0"/>
              <w:spacing w:line="240" w:lineRule="auto"/>
              <w:ind w:firstLine="0" w:firstLineChars="0"/>
              <w:jc w:val="both"/>
              <w:textAlignment w:val="center"/>
              <w:rPr>
                <w:rFonts w:eastAsia="宋体"/>
                <w:color w:val="000000"/>
                <w:kern w:val="2"/>
                <w:sz w:val="21"/>
                <w:szCs w:val="21"/>
                <w:lang w:bidi="ar"/>
              </w:rPr>
            </w:pPr>
            <w:r>
              <w:rPr>
                <w:rFonts w:hint="eastAsia" w:ascii="仿宋" w:hAnsi="仿宋" w:eastAsia="仿宋" w:cs="仿宋"/>
                <w:color w:val="000000"/>
                <w:kern w:val="2"/>
                <w:sz w:val="21"/>
                <w:szCs w:val="21"/>
                <w:u w:val="none"/>
                <w:lang w:val="en-US" w:eastAsia="zh-CN" w:bidi="ar"/>
              </w:rPr>
              <w:t>3.</w:t>
            </w:r>
            <w:r>
              <w:rPr>
                <w:rFonts w:hint="eastAsia" w:ascii="仿宋" w:hAnsi="仿宋" w:eastAsia="仿宋" w:cs="仿宋"/>
                <w:color w:val="000000"/>
                <w:kern w:val="2"/>
                <w:sz w:val="21"/>
                <w:szCs w:val="21"/>
                <w:u w:val="none"/>
                <w:lang w:bidi="ar"/>
              </w:rPr>
              <w:t>矿区绿化美化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eastAsia" w:eastAsia="仿宋"/>
                <w:color w:val="000000"/>
                <w:kern w:val="2"/>
                <w:sz w:val="21"/>
                <w:szCs w:val="21"/>
                <w:lang w:eastAsia="zh-CN"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1项</w:t>
            </w:r>
            <w:r>
              <w:rPr>
                <w:rFonts w:hint="eastAsia" w:ascii="仿宋" w:hAnsi="仿宋" w:eastAsia="仿宋" w:cs="仿宋"/>
                <w:color w:val="000000"/>
                <w:kern w:val="2"/>
                <w:sz w:val="21"/>
                <w:szCs w:val="21"/>
                <w:u w:val="none"/>
                <w:lang w:eastAsia="zh-CN" w:bidi="ar"/>
              </w:rPr>
              <w:t>）</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bidi="ar"/>
              </w:rPr>
              <w:t>海绵城市建设和运营：</w:t>
            </w:r>
            <w:r>
              <w:rPr>
                <w:rFonts w:hint="eastAsia" w:ascii="仿宋" w:hAnsi="仿宋" w:eastAsia="仿宋" w:cs="仿宋"/>
                <w:color w:val="000000"/>
                <w:kern w:val="2"/>
                <w:sz w:val="21"/>
                <w:szCs w:val="21"/>
                <w:u w:val="none"/>
                <w:lang w:bidi="ar"/>
              </w:rPr>
              <w:t>矿区生产区、生活区、管理区因地制宜采取屋顶绿化、可渗透地面铺装、微地形、雨水花园建设，雨落管断接、雨水调蓄与收集利用等设施建设和运营: 在非机动车道、人行道、停车场、广场等场所采用透水铺装，道路与广场雨水收集、净化和利用，生物滞留带、环保雨水口、旋流沉砂等道路雨水径流污染控制等设施建设和运营;在公园绿地中雨水花园、下凹式绿地、人工湿地、雨水塘等设施建设和运营; 矿区排水防涝设施达标建设，如易涝点排水改造，雨污分流管网建设和改造等。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《绿色低碳转型产业指导目录（2024年版）》6.4.2</w:t>
            </w:r>
          </w:p>
        </w:tc>
      </w:tr>
      <w:tr>
        <w:tblPrEx>
          <w:tblCellMar>
            <w:top w:w="0" w:type="dxa"/>
            <w:left w:w="108" w:type="dxa"/>
            <w:bottom w:w="0" w:type="dxa"/>
            <w:right w:w="108" w:type="dxa"/>
          </w:tblCellMar>
        </w:tblPrEx>
        <w:trPr>
          <w:cantSplit/>
          <w:trHeight w:val="1176"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
              </w:numPr>
              <w:adjustRightInd w:val="0"/>
              <w:snapToGrid w:val="0"/>
              <w:spacing w:line="240" w:lineRule="auto"/>
              <w:ind w:firstLine="0" w:firstLineChars="0"/>
              <w:jc w:val="distribute"/>
              <w:textAlignment w:val="center"/>
              <w:rPr>
                <w:rFonts w:hint="eastAsia" w:eastAsia="宋体"/>
                <w:kern w:val="2"/>
                <w:szCs w:val="24"/>
              </w:rPr>
            </w:pPr>
            <w:r>
              <w:rPr>
                <w:rFonts w:hint="eastAsia" w:eastAsia="宋体"/>
                <w:kern w:val="2"/>
                <w:szCs w:val="24"/>
              </w:rPr>
              <w:t>资源开采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210" w:leftChars="-100" w:right="-210" w:rightChars="-100" w:firstLine="0" w:firstLineChars="0"/>
              <w:jc w:val="center"/>
              <w:textAlignment w:val="auto"/>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（2项）</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eastAsia="宋体"/>
                <w:kern w:val="2"/>
                <w:szCs w:val="24"/>
              </w:rPr>
            </w:pPr>
            <w:r>
              <w:rPr>
                <w:rFonts w:hint="eastAsia" w:ascii="仿宋" w:hAnsi="仿宋" w:eastAsia="仿宋" w:cs="仿宋"/>
                <w:color w:val="000000"/>
                <w:kern w:val="2"/>
                <w:sz w:val="21"/>
                <w:szCs w:val="21"/>
                <w:u w:val="none"/>
                <w:lang w:val="en-US" w:eastAsia="zh-CN" w:bidi="ar"/>
              </w:rPr>
              <w:t>1.</w:t>
            </w:r>
            <w:r>
              <w:rPr>
                <w:rFonts w:hint="eastAsia" w:ascii="仿宋" w:hAnsi="仿宋" w:eastAsia="仿宋" w:cs="仿宋"/>
                <w:color w:val="000000"/>
                <w:kern w:val="2"/>
                <w:sz w:val="21"/>
                <w:szCs w:val="21"/>
                <w:u w:val="none"/>
                <w:lang w:bidi="ar"/>
              </w:rPr>
              <w:t>开采活动</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default" w:eastAsia="宋体"/>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r>
              <w:rPr>
                <w:rFonts w:hint="eastAsia" w:ascii="仿宋" w:hAnsi="仿宋" w:eastAsia="仿宋" w:cs="仿宋"/>
                <w:color w:val="000000"/>
                <w:kern w:val="2"/>
                <w:sz w:val="21"/>
                <w:szCs w:val="21"/>
                <w:u w:val="none"/>
                <w:lang w:eastAsia="zh-CN" w:bidi="ar"/>
              </w:rPr>
              <w:t>）</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地热能利用设施建设和运营：</w:t>
            </w:r>
            <w:r>
              <w:rPr>
                <w:rFonts w:hint="eastAsia" w:ascii="仿宋" w:hAnsi="仿宋" w:eastAsia="仿宋" w:cs="仿宋"/>
                <w:color w:val="000000"/>
                <w:kern w:val="2"/>
                <w:sz w:val="21"/>
                <w:szCs w:val="21"/>
                <w:u w:val="none"/>
                <w:lang w:bidi="ar"/>
              </w:rPr>
              <w:t>地热矿山开展中深层水热型地热供暖、浅层地热能利用、地热发电等活动时需要的设施建设和运营。</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《地下水管理条例》、《中华人民共和国水法》</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《绿色低碳转型产业指导目录（2024年版）》4.2.6</w:t>
            </w:r>
          </w:p>
        </w:tc>
      </w:tr>
      <w:tr>
        <w:tblPrEx>
          <w:tblCellMar>
            <w:top w:w="0" w:type="dxa"/>
            <w:left w:w="108" w:type="dxa"/>
            <w:bottom w:w="0" w:type="dxa"/>
            <w:right w:w="108" w:type="dxa"/>
          </w:tblCellMar>
        </w:tblPrEx>
        <w:trPr>
          <w:cantSplit/>
          <w:trHeight w:val="127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val="en-US" w:eastAsia="zh-CN" w:bidi="ar"/>
              </w:rPr>
              <w:t>2</w:t>
            </w:r>
            <w:r>
              <w:rPr>
                <w:rFonts w:hint="eastAsia" w:ascii="仿宋" w:hAnsi="仿宋" w:eastAsia="仿宋" w:cs="仿宋"/>
                <w:b/>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煤炭清洁生产：</w:t>
            </w:r>
            <w:r>
              <w:rPr>
                <w:rFonts w:hint="eastAsia" w:ascii="仿宋" w:hAnsi="仿宋" w:eastAsia="仿宋" w:cs="仿宋"/>
                <w:color w:val="000000"/>
                <w:kern w:val="2"/>
                <w:sz w:val="21"/>
                <w:szCs w:val="21"/>
                <w:u w:val="none"/>
                <w:lang w:bidi="ar"/>
              </w:rPr>
              <w:t>包括在煤炭生产过程中利用智能化装备和绿色开采技术，降低能源资源消耗，减少生态环境损害和破坏，实现安全高效绿色智能开采;加大煤炭洗选加工力度，提高商品煤煤质质量等。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关于加快煤矿智能化发展的指导意见》(发改能源〔2020〕283号)、《煤炭行业碳达峰实施方案》(发改能源〔2022〕618号)、《商品煤质量管理暂行办法》(发展改革委等六部门令2014年第16号)、《煤炭井工开采单位产品能源消耗限额》(GB 29444)、《煤炭露天开采单位产品能源消耗限额》(GB 29445)、《煤炭工业污染物排放标准》(GB20426)。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《绿色低碳转型产业指导目录（2024年版）》4.4.1</w:t>
            </w:r>
          </w:p>
        </w:tc>
      </w:tr>
      <w:tr>
        <w:tblPrEx>
          <w:tblCellMar>
            <w:top w:w="0" w:type="dxa"/>
            <w:left w:w="108" w:type="dxa"/>
            <w:bottom w:w="0" w:type="dxa"/>
            <w:right w:w="108" w:type="dxa"/>
          </w:tblCellMar>
        </w:tblPrEx>
        <w:trPr>
          <w:cantSplit/>
          <w:trHeight w:val="15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原油、天然气清洁生产：</w:t>
            </w:r>
            <w:r>
              <w:rPr>
                <w:rFonts w:hint="eastAsia" w:ascii="仿宋" w:hAnsi="仿宋" w:eastAsia="仿宋" w:cs="仿宋"/>
                <w:color w:val="000000"/>
                <w:kern w:val="2"/>
                <w:sz w:val="21"/>
                <w:szCs w:val="21"/>
                <w:u w:val="none"/>
                <w:lang w:bidi="ar"/>
              </w:rPr>
              <w:t>包括在原油、天然气生产过程中采用先进工艺技术与设备，从源头削减污染，提高资源利用效率，减少或者避免污染物的产生和排放，以减轻或者消除对人类健康和环境的危害。</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《陆上石油天然气开采工业大气污染物排放标准》(GB39728)、《陆上石油天然气开采业清洁生产技术指南》(SY/T7292)、《陆上石油天然气开采业绿色矿山建设规范》(DZIT0317)</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《绿色低碳转型产业指导目录（2024年版）》4.4.5</w:t>
            </w:r>
          </w:p>
        </w:tc>
      </w:tr>
      <w:tr>
        <w:tblPrEx>
          <w:tblCellMar>
            <w:top w:w="0" w:type="dxa"/>
            <w:left w:w="108" w:type="dxa"/>
            <w:bottom w:w="0" w:type="dxa"/>
            <w:right w:w="108" w:type="dxa"/>
          </w:tblCellMar>
        </w:tblPrEx>
        <w:trPr>
          <w:cantSplit/>
          <w:trHeight w:val="1083"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非常规油气资源开发：</w:t>
            </w:r>
            <w:r>
              <w:rPr>
                <w:rFonts w:hint="eastAsia" w:ascii="仿宋" w:hAnsi="仿宋" w:eastAsia="仿宋" w:cs="仿宋"/>
                <w:color w:val="000000"/>
                <w:kern w:val="2"/>
                <w:sz w:val="21"/>
                <w:szCs w:val="21"/>
                <w:u w:val="none"/>
                <w:lang w:bidi="ar"/>
              </w:rPr>
              <w:t>包括页岩油气、致密油气等非常规油气资源开发。</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《陆上石油天然气开采业绿色矿山建设规范》（DZ/T 0317-2018）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《绿色低碳转型产业指导目录（2024年版）》4.4.6</w:t>
            </w:r>
          </w:p>
        </w:tc>
      </w:tr>
      <w:tr>
        <w:tblPrEx>
          <w:tblCellMar>
            <w:top w:w="0" w:type="dxa"/>
            <w:left w:w="108" w:type="dxa"/>
            <w:bottom w:w="0" w:type="dxa"/>
            <w:right w:w="108" w:type="dxa"/>
          </w:tblCellMar>
        </w:tblPrEx>
        <w:trPr>
          <w:cantSplit/>
          <w:trHeight w:val="1500" w:hRule="atLeast"/>
          <w:jc w:val="center"/>
        </w:trPr>
        <w:tc>
          <w:tcPr>
            <w:tcW w:w="78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distribute"/>
              <w:textAlignment w:val="center"/>
              <w:rPr>
                <w:rFonts w:eastAsia="宋体"/>
                <w:kern w:val="2"/>
                <w:szCs w:val="24"/>
              </w:rPr>
            </w:pPr>
            <w:r>
              <w:rPr>
                <w:rFonts w:hint="eastAsia" w:eastAsia="宋体"/>
                <w:kern w:val="2"/>
                <w:szCs w:val="24"/>
                <w:lang w:val="en-US" w:eastAsia="zh-CN"/>
              </w:rPr>
              <w:t>2.</w:t>
            </w:r>
            <w:r>
              <w:rPr>
                <w:rFonts w:eastAsia="宋体"/>
                <w:kern w:val="2"/>
                <w:szCs w:val="24"/>
              </w:rPr>
              <w:t>开采工作面</w:t>
            </w:r>
          </w:p>
          <w:p>
            <w:pPr>
              <w:keepNext w:val="0"/>
              <w:keepLines w:val="0"/>
              <w:pageBreakBefore w:val="0"/>
              <w:widowControl w:val="0"/>
              <w:kinsoku/>
              <w:wordWrap/>
              <w:overflowPunct/>
              <w:topLinePunct w:val="0"/>
              <w:autoSpaceDE/>
              <w:autoSpaceDN/>
              <w:bidi w:val="0"/>
              <w:adjustRightInd w:val="0"/>
              <w:snapToGrid w:val="0"/>
              <w:spacing w:after="0"/>
              <w:ind w:left="-210" w:leftChars="-100" w:right="-210" w:rightChars="-10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000000"/>
                <w:kern w:val="2"/>
                <w:sz w:val="21"/>
                <w:szCs w:val="21"/>
                <w:u w:val="none"/>
                <w:lang w:val="en-US" w:eastAsia="zh-CN" w:bidi="ar"/>
              </w:rPr>
              <w:t>（1项）</w:t>
            </w:r>
          </w:p>
        </w:tc>
        <w:tc>
          <w:tcPr>
            <w:tcW w:w="53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highlight w:val="yellow"/>
                <w:lang w:bidi="ar"/>
              </w:rPr>
            </w:pPr>
            <w:r>
              <w:rPr>
                <w:rFonts w:hint="eastAsia" w:ascii="仿宋" w:hAnsi="仿宋" w:eastAsia="仿宋" w:cs="仿宋"/>
                <w:b/>
                <w:color w:val="000000"/>
                <w:kern w:val="2"/>
                <w:szCs w:val="21"/>
                <w:lang w:bidi="ar"/>
              </w:rPr>
              <w:t>矿山开采新技术设备制造及使用：</w:t>
            </w:r>
            <w:r>
              <w:rPr>
                <w:rFonts w:hint="eastAsia" w:ascii="仿宋" w:hAnsi="仿宋" w:eastAsia="仿宋" w:cs="仿宋"/>
                <w:bCs/>
                <w:color w:val="000000"/>
                <w:kern w:val="2"/>
                <w:szCs w:val="21"/>
                <w:lang w:bidi="ar"/>
              </w:rPr>
              <w:t>包括节能型建井设备、采掘和凿岩设备、撬毛设备、支护设备、井下运输及通风设备、噪音控制设备、粉尘控制设备、矿山提升设备等制造及使用。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highlight w:val="yellow"/>
                <w:lang w:bidi="ar"/>
              </w:rPr>
            </w:pPr>
            <w:r>
              <w:rPr>
                <w:rFonts w:hint="eastAsia" w:ascii="仿宋" w:hAnsi="仿宋" w:eastAsia="仿宋" w:cs="仿宋"/>
                <w:color w:val="000000"/>
                <w:kern w:val="0"/>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highlight w:val="yellow"/>
              </w:rPr>
            </w:pPr>
            <w:r>
              <w:rPr>
                <w:rFonts w:hint="eastAsia" w:ascii="仿宋" w:hAnsi="仿宋" w:eastAsia="仿宋" w:cs="仿宋"/>
                <w:color w:val="000000"/>
                <w:kern w:val="0"/>
                <w:szCs w:val="21"/>
                <w:lang w:bidi="ar"/>
              </w:rPr>
              <w:t>《绿色低碳转型产业指导目录（2024年版）》1.1.12</w:t>
            </w:r>
          </w:p>
        </w:tc>
      </w:tr>
      <w:tr>
        <w:tblPrEx>
          <w:tblCellMar>
            <w:top w:w="0" w:type="dxa"/>
            <w:left w:w="108" w:type="dxa"/>
            <w:bottom w:w="0" w:type="dxa"/>
            <w:right w:w="108" w:type="dxa"/>
          </w:tblCellMar>
        </w:tblPrEx>
        <w:trPr>
          <w:cantSplit/>
          <w:trHeight w:val="1180" w:hRule="atLeast"/>
          <w:jc w:val="center"/>
        </w:trPr>
        <w:tc>
          <w:tcPr>
            <w:tcW w:w="788"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eastAsia="zh-CN" w:bidi="ar"/>
              </w:rPr>
              <w:t>三、</w:t>
            </w:r>
            <w:r>
              <w:rPr>
                <w:rFonts w:hint="eastAsia" w:ascii="仿宋" w:hAnsi="仿宋" w:eastAsia="仿宋" w:cs="仿宋"/>
                <w:color w:val="000000"/>
                <w:kern w:val="0"/>
                <w:szCs w:val="21"/>
                <w:lang w:bidi="ar"/>
              </w:rPr>
              <w:t>资源综合利用</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7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选矿回收</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2项）</w:t>
            </w:r>
          </w:p>
        </w:tc>
        <w:tc>
          <w:tcPr>
            <w:tcW w:w="539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节能降碳改造和能效提升：</w:t>
            </w:r>
            <w:r>
              <w:rPr>
                <w:rFonts w:hint="eastAsia" w:ascii="仿宋" w:hAnsi="仿宋" w:eastAsia="仿宋" w:cs="仿宋"/>
                <w:b w:val="0"/>
                <w:bCs/>
                <w:color w:val="000000"/>
                <w:kern w:val="2"/>
                <w:sz w:val="21"/>
                <w:szCs w:val="21"/>
                <w:u w:val="none"/>
                <w:lang w:bidi="ar"/>
              </w:rPr>
              <w:t>有色金属和建材类矿山企业在生产过程中采用先进技术、工艺、设备等实现节能降碳改造和能效提升的活动。</w:t>
            </w:r>
            <w:r>
              <w:rPr>
                <w:rFonts w:hint="eastAsia" w:ascii="仿宋" w:hAnsi="仿宋" w:eastAsia="仿宋" w:cs="仿宋"/>
                <w:b w:val="0"/>
                <w:bCs/>
                <w:color w:val="000000"/>
                <w:kern w:val="2"/>
                <w:sz w:val="21"/>
                <w:szCs w:val="21"/>
                <w:u w:val="none"/>
                <w:lang w:bidi="ar"/>
              </w:rPr>
              <w:br w:type="textWrapping"/>
            </w:r>
          </w:p>
        </w:tc>
        <w:tc>
          <w:tcPr>
            <w:tcW w:w="5731"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《工业重点领域能效标杆水平和基准水平》</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《绿色低碳转型产业指导目录（2024年版）》1.4.1</w:t>
            </w:r>
          </w:p>
        </w:tc>
      </w:tr>
      <w:tr>
        <w:tblPrEx>
          <w:tblCellMar>
            <w:top w:w="0" w:type="dxa"/>
            <w:left w:w="108" w:type="dxa"/>
            <w:bottom w:w="0" w:type="dxa"/>
            <w:right w:w="108" w:type="dxa"/>
          </w:tblCellMar>
        </w:tblPrEx>
        <w:trPr>
          <w:cantSplit/>
          <w:trHeight w:val="1683" w:hRule="atLeast"/>
          <w:jc w:val="center"/>
        </w:trPr>
        <w:tc>
          <w:tcPr>
            <w:tcW w:w="788"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0"/>
                <w:szCs w:val="21"/>
                <w:lang w:bidi="ar"/>
              </w:rPr>
            </w:pPr>
          </w:p>
        </w:tc>
        <w:tc>
          <w:tcPr>
            <w:tcW w:w="7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distribute"/>
              <w:textAlignment w:val="center"/>
              <w:rPr>
                <w:rFonts w:ascii="仿宋" w:hAnsi="仿宋" w:eastAsia="仿宋" w:cs="仿宋"/>
                <w:color w:val="000000"/>
                <w:kern w:val="0"/>
                <w:szCs w:val="21"/>
                <w:lang w:bidi="ar"/>
              </w:rPr>
            </w:pPr>
          </w:p>
        </w:tc>
        <w:tc>
          <w:tcPr>
            <w:tcW w:w="53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ascii="仿宋" w:hAnsi="仿宋" w:eastAsia="仿宋" w:cs="仿宋"/>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工艺改进和流程优化：</w:t>
            </w:r>
            <w:r>
              <w:rPr>
                <w:rFonts w:hint="eastAsia" w:ascii="仿宋" w:hAnsi="仿宋" w:eastAsia="仿宋" w:cs="仿宋"/>
                <w:b w:val="0"/>
                <w:bCs/>
                <w:color w:val="000000"/>
                <w:kern w:val="2"/>
                <w:sz w:val="21"/>
                <w:szCs w:val="21"/>
                <w:u w:val="none"/>
                <w:lang w:bidi="ar"/>
              </w:rPr>
              <w:t>有色金属和建材类矿山企业开展工艺改进和流程优化活动，如绿色能源及原燃料替代、资源循环利用、环保减排改造、流程优化再造、低碳产品开发、原料低碳加工、冶炼技术突破、产品结构优化、绿色低碳产业链建设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0312-2018）、《黄金行业绿色矿山建设规范》（DZ/T 0314-2018）、《水泥灰岩绿色矿山建设规范》（DZ/T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《绿色低碳转型产业指导目录（2024年版）》1.4.2</w:t>
            </w:r>
          </w:p>
        </w:tc>
      </w:tr>
      <w:tr>
        <w:tblPrEx>
          <w:tblCellMar>
            <w:top w:w="0" w:type="dxa"/>
            <w:left w:w="108" w:type="dxa"/>
            <w:bottom w:w="0" w:type="dxa"/>
            <w:right w:w="108" w:type="dxa"/>
          </w:tblCellMar>
        </w:tblPrEx>
        <w:trPr>
          <w:cantSplit/>
          <w:trHeight w:val="2641"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2"/>
                <w:sz w:val="21"/>
                <w:szCs w:val="21"/>
                <w:u w:val="none"/>
                <w:lang w:val="en-US" w:eastAsia="zh-CN" w:bidi="ar"/>
              </w:rPr>
              <w:t>2.</w:t>
            </w:r>
            <w:r>
              <w:rPr>
                <w:rFonts w:hint="eastAsia" w:ascii="仿宋" w:hAnsi="仿宋" w:eastAsia="仿宋" w:cs="仿宋"/>
                <w:color w:val="000000"/>
                <w:kern w:val="2"/>
                <w:sz w:val="21"/>
                <w:szCs w:val="21"/>
                <w:u w:val="none"/>
                <w:lang w:bidi="ar"/>
              </w:rPr>
              <w:t>综合利用</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default" w:eastAsia="宋体"/>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6项）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矿产资源综合利用：</w:t>
            </w:r>
            <w:r>
              <w:rPr>
                <w:rFonts w:hint="eastAsia" w:ascii="仿宋" w:hAnsi="仿宋" w:eastAsia="仿宋" w:cs="仿宋"/>
                <w:color w:val="000000"/>
                <w:kern w:val="2"/>
                <w:sz w:val="21"/>
                <w:szCs w:val="21"/>
                <w:u w:val="none"/>
                <w:lang w:bidi="ar"/>
              </w:rPr>
              <w:t>包括油母页岩、油砂、伴生天然气等能源矿产资源综合开发利用，铁、锰、铬等黑色金属矿产中低品位矿、伴生矿综合开发利用，铜、铅、锌、镍、锡、铝、镁、金、银等有色金属矿产资源高效开发利用、伴生矿综合开发利用，以及高岭土、铝矾土、石灰石、石膏、磷矿等非金属矿产资源伴生矿综合开发利用。工艺、产品等需符合国家、地方有关法规政策和相关标准规范要求。</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《绿色低碳转型产业指导目录（2024年版）》3.2.1</w:t>
            </w:r>
          </w:p>
        </w:tc>
      </w:tr>
      <w:tr>
        <w:tblPrEx>
          <w:tblCellMar>
            <w:top w:w="0" w:type="dxa"/>
            <w:left w:w="108" w:type="dxa"/>
            <w:bottom w:w="0" w:type="dxa"/>
            <w:right w:w="108" w:type="dxa"/>
          </w:tblCellMar>
        </w:tblPrEx>
        <w:trPr>
          <w:cantSplit/>
          <w:trHeight w:val="850"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煤层气（煤矿瓦斯）抽采利用：</w:t>
            </w:r>
            <w:r>
              <w:rPr>
                <w:rFonts w:hint="eastAsia" w:ascii="仿宋" w:hAnsi="仿宋" w:eastAsia="仿宋" w:cs="仿宋"/>
                <w:color w:val="000000"/>
                <w:kern w:val="2"/>
                <w:sz w:val="21"/>
                <w:szCs w:val="21"/>
                <w:u w:val="none"/>
                <w:lang w:bidi="ar"/>
              </w:rPr>
              <w:t>煤矿在煤层气开采设施、井下瓦斯抽采设施、煤层气输配管网、煤层气储存设施、煤层气(煤矿瓦斯)综合利用设施等的建设和运营。需符合《煤层气产业政策》等法规政策，以及《民用煤层气(煤矿瓦斯)》(GB26569)、《煤层气(煤矿瓦斯)利用导则》(GB/T28754)、《煤层气(煤矿瓦斯)排放标准(暂行)》(GB21522)等国家、行业相关标准规范要求。</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《煤层气产业政策》、《民用煤层气（煤矿瓦斯）》（GB 26569)、《煤层气（煤矿瓦斯）利用导则》(GB/T 28754)、《煤层气（煤矿瓦斯）排放标准（暂行）》（GB21522)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《绿色低碳转型产业指导目录（2024年版）》4.4.7</w:t>
            </w:r>
          </w:p>
        </w:tc>
      </w:tr>
      <w:tr>
        <w:tblPrEx>
          <w:tblCellMar>
            <w:top w:w="0" w:type="dxa"/>
            <w:left w:w="108" w:type="dxa"/>
            <w:bottom w:w="0" w:type="dxa"/>
            <w:right w:w="108" w:type="dxa"/>
          </w:tblCellMar>
        </w:tblPrEx>
        <w:trPr>
          <w:cantSplit/>
          <w:trHeight w:val="1540"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油气田甲烷采收利用：</w:t>
            </w:r>
            <w:r>
              <w:rPr>
                <w:rFonts w:hint="eastAsia" w:ascii="仿宋" w:hAnsi="仿宋" w:eastAsia="仿宋" w:cs="仿宋"/>
                <w:color w:val="000000"/>
                <w:kern w:val="2"/>
                <w:sz w:val="21"/>
                <w:szCs w:val="21"/>
                <w:u w:val="none"/>
                <w:lang w:bidi="ar"/>
              </w:rPr>
              <w:t>油气矿山在应用液化处理、吸附处理、压缩处理等技术采收油气田甲烷，以及将其管输用于其他油井供能、废水脱盐处理供能、发电等。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《陆上石油天然气开采业绿色矿山建设规范》（DZ/T 0317-2018）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《绿色低碳转型产业指导目录（2024年版）》4.4.8</w:t>
            </w:r>
          </w:p>
        </w:tc>
      </w:tr>
      <w:tr>
        <w:tblPrEx>
          <w:tblCellMar>
            <w:top w:w="0" w:type="dxa"/>
            <w:left w:w="108" w:type="dxa"/>
            <w:bottom w:w="0" w:type="dxa"/>
            <w:right w:w="108" w:type="dxa"/>
          </w:tblCellMar>
        </w:tblPrEx>
        <w:trPr>
          <w:cantSplit/>
          <w:trHeight w:val="2571"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垃圾资源化利用：</w:t>
            </w:r>
            <w:r>
              <w:rPr>
                <w:rFonts w:hint="eastAsia" w:ascii="仿宋" w:hAnsi="仿宋" w:eastAsia="仿宋" w:cs="仿宋"/>
                <w:color w:val="000000"/>
                <w:kern w:val="2"/>
                <w:sz w:val="21"/>
                <w:szCs w:val="21"/>
                <w:u w:val="none"/>
                <w:lang w:bidi="ar"/>
              </w:rPr>
              <w:t>矿山企业在生活垃圾资源化利用、厨余垃圾资源化利用、大件垃圾资源化利用、可回收物分拣、污泥综合利用等方面。</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《绿色低碳转型产业指导目录（2024年版）》3.2.6，6.4.8</w:t>
            </w:r>
          </w:p>
        </w:tc>
      </w:tr>
      <w:tr>
        <w:tblPrEx>
          <w:tblCellMar>
            <w:top w:w="0" w:type="dxa"/>
            <w:left w:w="108" w:type="dxa"/>
            <w:bottom w:w="0" w:type="dxa"/>
            <w:right w:w="108" w:type="dxa"/>
          </w:tblCellMar>
        </w:tblPrEx>
        <w:trPr>
          <w:cantSplit/>
          <w:trHeight w:val="2621"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5</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资源循环利用第三方服务：</w:t>
            </w:r>
            <w:r>
              <w:rPr>
                <w:rFonts w:hint="eastAsia" w:ascii="仿宋" w:hAnsi="仿宋" w:eastAsia="仿宋" w:cs="仿宋"/>
                <w:color w:val="000000"/>
                <w:kern w:val="2"/>
                <w:sz w:val="21"/>
                <w:szCs w:val="21"/>
                <w:u w:val="none"/>
                <w:lang w:bidi="ar"/>
              </w:rPr>
              <w:t>包括为矿产资源综合利用、工业固体废弃物综合利用、废旧物资循环利用垃圾资源化利用、废气回收利用等项目提供第三方服务。</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《绿色低碳转型产业指导目录（2024年版）》7.2.5</w:t>
            </w:r>
          </w:p>
        </w:tc>
      </w:tr>
      <w:tr>
        <w:tblPrEx>
          <w:tblCellMar>
            <w:top w:w="0" w:type="dxa"/>
            <w:left w:w="108" w:type="dxa"/>
            <w:bottom w:w="0" w:type="dxa"/>
            <w:right w:w="108" w:type="dxa"/>
          </w:tblCellMar>
        </w:tblPrEx>
        <w:trPr>
          <w:cantSplit/>
          <w:trHeight w:val="1470"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Cs/>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6</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甲烷逃逸排放气体回收利用：</w:t>
            </w:r>
            <w:r>
              <w:rPr>
                <w:rFonts w:hint="eastAsia" w:ascii="仿宋" w:hAnsi="仿宋" w:eastAsia="仿宋" w:cs="仿宋"/>
                <w:b w:val="0"/>
                <w:bCs/>
                <w:color w:val="000000"/>
                <w:kern w:val="2"/>
                <w:sz w:val="21"/>
                <w:szCs w:val="21"/>
                <w:u w:val="none"/>
                <w:lang w:bidi="ar"/>
              </w:rPr>
              <w:t>减少甲烷逃逸排放和放空排放的活动，如油气矿山应用液化处理、吸附处理、压缩处理等技术采收油气田甲烷，以及将其管输用于其他油井供能、废水脱盐处理供能、发电等；煤炭矿山加强煤层气开采设施、井下瓦斯抽采设施、煤层气输配管网、煤层气储存设施、煤层气(煤矿瓦斯) 综合利用设施等建设和运营活动。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《煤层气产业政策》、《民用煤层气（煤矿瓦斯）》（GB 26569)、《煤层气（煤矿瓦斯）利用导则》(GB/T28754)、《煤层气（煤矿瓦斯）排放标准（暂行）》（GB21522)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《绿色低碳转型产业指导目录（2024年版）》4.4.7, 4.4.8</w:t>
            </w:r>
          </w:p>
        </w:tc>
      </w:tr>
      <w:tr>
        <w:tblPrEx>
          <w:tblCellMar>
            <w:top w:w="0" w:type="dxa"/>
            <w:left w:w="108" w:type="dxa"/>
            <w:bottom w:w="0" w:type="dxa"/>
            <w:right w:w="108" w:type="dxa"/>
          </w:tblCellMar>
        </w:tblPrEx>
        <w:trPr>
          <w:cantSplit/>
          <w:trHeight w:val="850"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bidi="ar"/>
              </w:rPr>
              <w:t>固废综合利用</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distribute"/>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Cs/>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工业固体废弃物综合利用：</w:t>
            </w:r>
            <w:r>
              <w:rPr>
                <w:rFonts w:hint="eastAsia" w:ascii="仿宋" w:hAnsi="仿宋" w:eastAsia="仿宋" w:cs="仿宋"/>
                <w:b w:val="0"/>
                <w:bCs/>
                <w:color w:val="000000"/>
                <w:kern w:val="2"/>
                <w:sz w:val="21"/>
                <w:szCs w:val="21"/>
                <w:u w:val="none"/>
                <w:lang w:bidi="ar"/>
              </w:rPr>
              <w:t>包括工业固体废弃物在提取有价组分、塌陷区治理、采空区充填、生态修复、水污染治理、大气污染治理等领域的应用，危险废物的利用。如煤矸石和粉煤灰在工程建设、绿色建材生产，废石、煤矸石中有价组分高效提取及整体利用，采矿废石制备砂源替代材料和胶凝回填利用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《工业固体废物综合利用技术评价导则》(GB/T 32326)、《工业固体废物综合利用产品环境与质量安全评价技术导则》(GB/T 32328)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《绿色低碳转型产业指导目录（2024年版）》3.2.3</w:t>
            </w:r>
          </w:p>
        </w:tc>
      </w:tr>
      <w:tr>
        <w:tblPrEx>
          <w:tblCellMar>
            <w:top w:w="0" w:type="dxa"/>
            <w:left w:w="108" w:type="dxa"/>
            <w:bottom w:w="0" w:type="dxa"/>
            <w:right w:w="108" w:type="dxa"/>
          </w:tblCellMar>
        </w:tblPrEx>
        <w:trPr>
          <w:cantSplit/>
          <w:trHeight w:val="2585"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工业固体废弃物无害化处理处置：</w:t>
            </w:r>
            <w:r>
              <w:rPr>
                <w:rFonts w:hint="eastAsia" w:ascii="仿宋" w:hAnsi="仿宋" w:eastAsia="仿宋" w:cs="仿宋"/>
                <w:b w:val="0"/>
                <w:bCs/>
                <w:color w:val="000000"/>
                <w:kern w:val="2"/>
                <w:sz w:val="21"/>
                <w:szCs w:val="21"/>
                <w:u w:val="none"/>
                <w:lang w:bidi="ar"/>
              </w:rPr>
              <w:t>主要包括煤矸石、粉煤灰等工业固体废弃物的回收、无害化处理和再利用设施建设和运营，历史遗留尾矸石场整治。</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bCs/>
                <w:color w:val="000000"/>
                <w:kern w:val="0"/>
                <w:szCs w:val="21"/>
                <w:lang w:bidi="ar"/>
              </w:rPr>
            </w:pPr>
            <w:r>
              <w:rPr>
                <w:rFonts w:hint="eastAsia" w:ascii="仿宋" w:hAnsi="仿宋" w:eastAsia="仿宋" w:cs="仿宋"/>
                <w:b w:val="0"/>
                <w:bCs/>
                <w:color w:val="000000"/>
                <w:kern w:val="2"/>
                <w:sz w:val="21"/>
                <w:szCs w:val="21"/>
                <w:u w:val="none"/>
                <w:lang w:bidi="ar"/>
              </w:rPr>
              <w:t>《工业综合利用设备环境化设计导则》(GB/T 31513)、《工业固体废物综合利用术语》(GB/T 34911)、《一般工业固体废物贮存和填埋污染控制标准》(GB18599)、《水泥窑协同处置固体废物污染控制标准》(GB 30485)、《锰渣污染控制技术规范》(HJ1241)《排污许可证申请与核发技术规范工业固体废物(试行)》(HJ1200)、《工业固体废物资源综合利用评价管理暂行办法》、《国家工业固体废物资源综合利用产品</w:t>
            </w:r>
            <w:r>
              <w:rPr>
                <w:rFonts w:hint="eastAsia" w:ascii="仿宋" w:hAnsi="仿宋" w:eastAsia="仿宋" w:cs="仿宋"/>
                <w:bCs/>
                <w:color w:val="000000"/>
                <w:kern w:val="2"/>
                <w:sz w:val="21"/>
                <w:szCs w:val="21"/>
                <w:u w:val="none"/>
                <w:lang w:bidi="ar"/>
              </w:rPr>
              <w:t>目录》</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《绿色低碳转型产业指导目录（2024年版）》2.5.1</w:t>
            </w:r>
          </w:p>
        </w:tc>
      </w:tr>
      <w:tr>
        <w:tblPrEx>
          <w:tblCellMar>
            <w:top w:w="0" w:type="dxa"/>
            <w:left w:w="108" w:type="dxa"/>
            <w:bottom w:w="0" w:type="dxa"/>
            <w:right w:w="108" w:type="dxa"/>
          </w:tblCellMar>
        </w:tblPrEx>
        <w:trPr>
          <w:cantSplit/>
          <w:trHeight w:val="1600"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新污染物治理：</w:t>
            </w:r>
            <w:r>
              <w:rPr>
                <w:rFonts w:hint="eastAsia" w:ascii="仿宋" w:hAnsi="仿宋" w:eastAsia="仿宋" w:cs="仿宋"/>
                <w:b w:val="0"/>
                <w:bCs/>
                <w:color w:val="000000"/>
                <w:kern w:val="2"/>
                <w:sz w:val="21"/>
                <w:szCs w:val="21"/>
                <w:u w:val="none"/>
                <w:lang w:bidi="ar"/>
              </w:rPr>
              <w:t>包括采矿、选矿等过程新污染物治理，《优先控制化学品名录》、《重点管控新污染物清单》中有毒有害化学物质的替代品利用、新污染物减排以及污水污泥、废液废渣中新污染物治理技术应用。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《新污染物治理行动方案》(国办发〔2022〕15号)</w:t>
            </w:r>
          </w:p>
          <w:p>
            <w:pPr>
              <w:widowControl/>
              <w:adjustRightInd w:val="0"/>
              <w:snapToGrid w:val="0"/>
              <w:spacing w:line="240" w:lineRule="auto"/>
              <w:ind w:firstLine="210" w:firstLineChars="100"/>
              <w:jc w:val="both"/>
              <w:textAlignment w:val="center"/>
              <w:rPr>
                <w:rFonts w:eastAsia="宋体"/>
                <w:kern w:val="2"/>
                <w:szCs w:val="24"/>
              </w:rPr>
            </w:pPr>
            <w:r>
              <w:rPr>
                <w:rFonts w:hint="eastAsia" w:ascii="仿宋" w:hAnsi="仿宋" w:eastAsia="仿宋" w:cs="仿宋"/>
                <w:b w:val="0"/>
                <w:bCs w:val="0"/>
                <w:color w:val="000000"/>
                <w:kern w:val="0"/>
                <w:sz w:val="21"/>
                <w:szCs w:val="21"/>
                <w:lang w:val="en-US" w:eastAsia="zh-CN" w:bidi="ar"/>
              </w:rPr>
              <w:t>《甘肃省人民政府办公厅关于印发新污染物治理工作方案的通知》（甘政办发〔2023〕3号）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《绿色低碳转型产业指导目录（2024年版）》2.5.5</w:t>
            </w:r>
          </w:p>
        </w:tc>
      </w:tr>
      <w:tr>
        <w:tblPrEx>
          <w:tblCellMar>
            <w:top w:w="0" w:type="dxa"/>
            <w:left w:w="108" w:type="dxa"/>
            <w:bottom w:w="0" w:type="dxa"/>
            <w:right w:w="108" w:type="dxa"/>
          </w:tblCellMar>
        </w:tblPrEx>
        <w:trPr>
          <w:cantSplit/>
          <w:trHeight w:val="2316" w:hRule="atLeast"/>
          <w:jc w:val="center"/>
        </w:trPr>
        <w:tc>
          <w:tcPr>
            <w:tcW w:w="78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矿区污染治理集中化改造：</w:t>
            </w:r>
            <w:r>
              <w:rPr>
                <w:rFonts w:hint="eastAsia" w:ascii="仿宋" w:hAnsi="仿宋" w:eastAsia="仿宋" w:cs="仿宋"/>
                <w:b w:val="0"/>
                <w:bCs/>
                <w:color w:val="000000"/>
                <w:kern w:val="2"/>
                <w:sz w:val="21"/>
                <w:szCs w:val="21"/>
                <w:u w:val="none"/>
                <w:lang w:bidi="ar"/>
              </w:rPr>
              <w:t>包括矿区集中污染治理设施、集中喷涂设施，以及集中涂装中心、活性炭集中处理中心、溶剂回收中心等涉挥发性有机物“绿岛”项目建设运营及升级改造，废弃可再生资源(如废钢铁、废有色金属、废塑料、废橡胶)集中拆解处理和集中污染治理设施建设运营，矿区公共基础设施(如供水、供电、供热、道路、通信等)建设和技术改造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b w:val="0"/>
                <w:bCs/>
                <w:color w:val="000000"/>
                <w:kern w:val="2"/>
                <w:sz w:val="21"/>
                <w:szCs w:val="21"/>
                <w:u w:val="none"/>
                <w:lang w:bidi="ar"/>
              </w:rPr>
              <w:t>《城镇污水处理厂污染物排放标准》(GB18918)、《产业园区基础设施绿色化指标体系及评价方法》GB/T 38538)。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《绿色低碳转型产业指导目录（2024年版）》2.5.7</w:t>
            </w:r>
          </w:p>
        </w:tc>
      </w:tr>
      <w:tr>
        <w:tblPrEx>
          <w:tblCellMar>
            <w:top w:w="0" w:type="dxa"/>
            <w:left w:w="108" w:type="dxa"/>
            <w:bottom w:w="0" w:type="dxa"/>
            <w:right w:w="108" w:type="dxa"/>
          </w:tblCellMar>
        </w:tblPrEx>
        <w:trPr>
          <w:cantSplit/>
          <w:trHeight w:val="1380"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eastAsia="zh-CN" w:bidi="ar"/>
              </w:rPr>
              <w:t>三、</w:t>
            </w:r>
            <w:r>
              <w:rPr>
                <w:rFonts w:hint="eastAsia" w:ascii="仿宋" w:hAnsi="仿宋" w:eastAsia="仿宋" w:cs="仿宋"/>
                <w:color w:val="000000"/>
                <w:kern w:val="0"/>
                <w:szCs w:val="21"/>
                <w:lang w:bidi="ar"/>
              </w:rPr>
              <w:t>资源综合利用</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distribute"/>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b w:val="0"/>
                <w:bCs/>
                <w:color w:val="000000"/>
                <w:kern w:val="2"/>
                <w:sz w:val="21"/>
                <w:szCs w:val="21"/>
                <w:u w:val="none"/>
                <w:lang w:val="en-US" w:eastAsia="zh-CN" w:bidi="ar"/>
              </w:rPr>
              <w:t>1.</w:t>
            </w:r>
            <w:r>
              <w:rPr>
                <w:rFonts w:hint="eastAsia" w:ascii="仿宋" w:hAnsi="仿宋" w:eastAsia="仿宋" w:cs="仿宋"/>
                <w:b w:val="0"/>
                <w:bCs/>
                <w:color w:val="000000"/>
                <w:kern w:val="2"/>
                <w:sz w:val="21"/>
                <w:szCs w:val="21"/>
                <w:u w:val="none"/>
                <w:lang w:bidi="ar"/>
              </w:rPr>
              <w:t>工业节水及废水综合利用</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b w:val="0"/>
                <w:bCs/>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3项）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val="0"/>
                <w:bCs/>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水污染治理：</w:t>
            </w:r>
            <w:r>
              <w:rPr>
                <w:rFonts w:hint="eastAsia" w:ascii="仿宋" w:hAnsi="仿宋" w:eastAsia="仿宋" w:cs="仿宋"/>
                <w:b w:val="0"/>
                <w:bCs/>
                <w:color w:val="000000"/>
                <w:kern w:val="2"/>
                <w:sz w:val="21"/>
                <w:szCs w:val="21"/>
                <w:u w:val="none"/>
                <w:lang w:bidi="ar"/>
              </w:rPr>
              <w:t>矿山生产和生活污废水治理，工业废水循环利用和清洁化改造。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《工业废水处理与回用技术评价导则》(GB/T 32327)</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《绿色低碳转型产业指导目录（2024年版）》2.3.4</w:t>
            </w:r>
          </w:p>
        </w:tc>
      </w:tr>
      <w:tr>
        <w:tblPrEx>
          <w:tblCellMar>
            <w:top w:w="0" w:type="dxa"/>
            <w:left w:w="108" w:type="dxa"/>
            <w:bottom w:w="0" w:type="dxa"/>
            <w:right w:w="108" w:type="dxa"/>
          </w:tblCellMar>
        </w:tblPrEx>
        <w:trPr>
          <w:cantSplit/>
          <w:trHeight w:val="1364"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矿区水污染集中治理：</w:t>
            </w:r>
            <w:r>
              <w:rPr>
                <w:rFonts w:hint="eastAsia" w:ascii="仿宋" w:hAnsi="仿宋" w:eastAsia="仿宋" w:cs="仿宋"/>
                <w:b w:val="0"/>
                <w:bCs/>
                <w:color w:val="000000"/>
                <w:kern w:val="2"/>
                <w:sz w:val="21"/>
                <w:szCs w:val="21"/>
                <w:u w:val="none"/>
                <w:lang w:bidi="ar"/>
              </w:rPr>
              <w:t>矿区污水预处理系统建设、污水收集系统和污水集中处理与再生利用设施建设和运营。</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《产业园区水的分类使用及循环利用原则和要求》(GB/T 36575)</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《绿色低碳转型产业指导目录（2024年版）》2.3.5</w:t>
            </w:r>
          </w:p>
        </w:tc>
      </w:tr>
      <w:tr>
        <w:tblPrEx>
          <w:tblCellMar>
            <w:top w:w="0" w:type="dxa"/>
            <w:left w:w="108" w:type="dxa"/>
            <w:bottom w:w="0" w:type="dxa"/>
            <w:right w:w="108" w:type="dxa"/>
          </w:tblCellMar>
        </w:tblPrEx>
        <w:trPr>
          <w:cantSplit/>
          <w:trHeight w:val="2301"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水资源高效及循环利用：</w:t>
            </w:r>
            <w:r>
              <w:rPr>
                <w:rFonts w:hint="eastAsia" w:ascii="仿宋" w:hAnsi="仿宋" w:eastAsia="仿宋" w:cs="仿宋"/>
                <w:color w:val="000000"/>
                <w:kern w:val="2"/>
                <w:sz w:val="21"/>
                <w:szCs w:val="21"/>
                <w:u w:val="none"/>
                <w:lang w:bidi="ar"/>
              </w:rPr>
              <w:t>矿山生产过程节水改造和生产用水、排水循环利用，工程施工过程中施工污水、废水处理再利用，矿井水、苦咸水处理及利用，非常规水资源利用等设施建设和运营。</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《节水灌溉工程技术规范》(GB/T 50363)、《城镇污水处理厂污染物排放标准》(GB18918)、《城市污水再生利用》系列标准(GB/T18919、GB/T18920、GB/T18921、GB/T19772、GB/T19923、GB20922、GB/T25499)、《节水型产品通用技术条件》(GB/T18870)、《节水型卫生洁具》(GB/T31436)</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《绿色低碳转型产业指导目录（2024年版）》3.2.2</w:t>
            </w:r>
          </w:p>
        </w:tc>
      </w:tr>
      <w:tr>
        <w:tblPrEx>
          <w:tblCellMar>
            <w:top w:w="0" w:type="dxa"/>
            <w:left w:w="108" w:type="dxa"/>
            <w:bottom w:w="0" w:type="dxa"/>
            <w:right w:w="108" w:type="dxa"/>
          </w:tblCellMar>
        </w:tblPrEx>
        <w:trPr>
          <w:cantSplit/>
          <w:trHeight w:val="1520"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eastAsia="zh-CN" w:bidi="ar"/>
              </w:rPr>
              <w:t>四、</w:t>
            </w:r>
            <w:r>
              <w:rPr>
                <w:rFonts w:hint="eastAsia" w:ascii="仿宋" w:hAnsi="仿宋" w:eastAsia="仿宋" w:cs="仿宋"/>
                <w:color w:val="000000"/>
                <w:kern w:val="0"/>
                <w:szCs w:val="21"/>
                <w:lang w:bidi="ar"/>
              </w:rPr>
              <w:t>绿色低碳</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6项）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节约集约用地</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1项）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color w:val="000000"/>
                <w:kern w:val="2"/>
                <w:sz w:val="21"/>
                <w:szCs w:val="21"/>
                <w:u w:val="none"/>
                <w:lang w:bidi="ar"/>
              </w:rPr>
              <w:t>园区污染处理集中化改造：</w:t>
            </w:r>
            <w:r>
              <w:rPr>
                <w:rFonts w:hint="eastAsia" w:ascii="仿宋" w:hAnsi="仿宋" w:eastAsia="仿宋" w:cs="仿宋"/>
                <w:color w:val="000000"/>
                <w:kern w:val="2"/>
                <w:sz w:val="21"/>
                <w:szCs w:val="21"/>
                <w:u w:val="none"/>
                <w:lang w:bidi="ar"/>
              </w:rPr>
              <w:t>绿色矿山企业集中向工业园区集群，工业园区公共基础设施(如供水、供电、供热、道路、通信等)建设和技术改造等。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《城镇污水处理厂污染物排放标准》(GB18918)、《产业园区基础设施绿色化指标体系及评价方法》(GB/T38538)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《绿色低碳转型产业指导目录（2024年版）》2.5.7</w:t>
            </w:r>
          </w:p>
        </w:tc>
      </w:tr>
      <w:tr>
        <w:tblPrEx>
          <w:tblCellMar>
            <w:top w:w="0" w:type="dxa"/>
            <w:left w:w="108" w:type="dxa"/>
            <w:bottom w:w="0" w:type="dxa"/>
            <w:right w:w="108" w:type="dxa"/>
          </w:tblCellMar>
        </w:tblPrEx>
        <w:trPr>
          <w:cantSplit/>
          <w:trHeight w:val="85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2.</w:t>
            </w:r>
            <w:r>
              <w:rPr>
                <w:rFonts w:hint="eastAsia" w:ascii="仿宋" w:hAnsi="仿宋" w:eastAsia="仿宋" w:cs="仿宋"/>
                <w:color w:val="000000"/>
                <w:kern w:val="0"/>
                <w:szCs w:val="21"/>
                <w:lang w:bidi="ar"/>
              </w:rPr>
              <w:t>节能降耗</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9项）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重点行业清洁生产改造：</w:t>
            </w:r>
            <w:r>
              <w:rPr>
                <w:rFonts w:hint="eastAsia" w:ascii="仿宋" w:hAnsi="仿宋" w:eastAsia="仿宋" w:cs="仿宋"/>
                <w:color w:val="000000"/>
                <w:kern w:val="2"/>
                <w:sz w:val="21"/>
                <w:szCs w:val="21"/>
                <w:u w:val="none"/>
                <w:lang w:bidi="ar"/>
              </w:rPr>
              <w:t>矿山企业清洁生产改造等。需符合有关法规政策及相关标准规范要求。</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钢铁行业清洁生产评价指标体系》、《氮肥行业清洁生产评价指标体系（试行）》、《烧碱／聚氯乙烯行业清洁生产评价指标体系（试行）》、《铝行业清洁生产评价指标体系（试行）》、《铅锌行业清洁生产评价指标体系（试行）》、《电解猛行业清洁生产评价指标体系》</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《绿色低碳转型产业指导目录（2024年版）》2.5.6</w:t>
            </w:r>
          </w:p>
        </w:tc>
      </w:tr>
      <w:tr>
        <w:tblPrEx>
          <w:tblCellMar>
            <w:top w:w="0" w:type="dxa"/>
            <w:left w:w="108" w:type="dxa"/>
            <w:bottom w:w="0" w:type="dxa"/>
            <w:right w:w="108" w:type="dxa"/>
          </w:tblCellMar>
        </w:tblPrEx>
        <w:trPr>
          <w:cantSplit/>
          <w:trHeight w:val="166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锅炉（窑炉）节能改造和能效提升：</w:t>
            </w:r>
            <w:r>
              <w:rPr>
                <w:rFonts w:hint="eastAsia" w:ascii="仿宋" w:hAnsi="仿宋" w:eastAsia="仿宋" w:cs="仿宋"/>
                <w:b w:val="0"/>
                <w:bCs/>
                <w:color w:val="000000"/>
                <w:kern w:val="2"/>
                <w:sz w:val="21"/>
                <w:szCs w:val="21"/>
                <w:u w:val="none"/>
                <w:lang w:bidi="ar"/>
              </w:rPr>
              <w:t>矿山企业以实现锅炉(窑炉)能效提升为目的，采用设备和装备替代更新、技术改造、燃料优化、燃烧调整优化等技术手段，对锅炉(窑炉)实施的节能技术改造，及使用天然气、可再生能源等清洁能源热力资源替代煤、石油焦、渣油、重油等燃料锅炉(窑炉)供热的节能技术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《绿色低碳转型产业指导目录（2024年版）》1.3.1</w:t>
            </w:r>
          </w:p>
        </w:tc>
      </w:tr>
      <w:tr>
        <w:tblPrEx>
          <w:tblCellMar>
            <w:top w:w="0" w:type="dxa"/>
            <w:left w:w="108" w:type="dxa"/>
            <w:bottom w:w="0" w:type="dxa"/>
            <w:right w:w="108" w:type="dxa"/>
          </w:tblCellMar>
        </w:tblPrEx>
        <w:trPr>
          <w:cantSplit/>
          <w:trHeight w:val="162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余热余压利用：</w:t>
            </w:r>
            <w:r>
              <w:rPr>
                <w:rFonts w:hint="eastAsia" w:ascii="仿宋" w:hAnsi="仿宋" w:eastAsia="仿宋" w:cs="仿宋"/>
                <w:b w:val="0"/>
                <w:bCs/>
                <w:color w:val="000000"/>
                <w:kern w:val="2"/>
                <w:sz w:val="21"/>
                <w:szCs w:val="21"/>
                <w:u w:val="none"/>
                <w:lang w:bidi="ar"/>
              </w:rPr>
              <w:t>矿山企业利用烟气余热回收利用、煤气回收利用等技术，回收生产过程低品位余热余压余气等能源资源用于发电、工业供热或制冷或生产工艺再利用的设施建设或技术改造。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bCs/>
                <w:color w:val="000000"/>
                <w:kern w:val="0"/>
                <w:szCs w:val="21"/>
                <w:lang w:bidi="ar"/>
              </w:rPr>
            </w:pPr>
            <w:r>
              <w:rPr>
                <w:rFonts w:hint="eastAsia" w:ascii="仿宋" w:hAnsi="仿宋" w:eastAsia="仿宋" w:cs="仿宋"/>
                <w:b w:val="0"/>
                <w:bCs/>
                <w:color w:val="000000"/>
                <w:kern w:val="2"/>
                <w:sz w:val="21"/>
                <w:szCs w:val="21"/>
                <w:u w:val="none"/>
                <w:lang w:bidi="ar"/>
              </w:rPr>
              <w:t>《工业余能资源评价方法》(GB/T1028)、《工业余热梯级综合利用导则》(GB/T39091)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《绿色低碳转型产业指导目录（2024年版）》1.3.5</w:t>
            </w:r>
          </w:p>
        </w:tc>
      </w:tr>
      <w:tr>
        <w:tblPrEx>
          <w:tblCellMar>
            <w:top w:w="0" w:type="dxa"/>
            <w:left w:w="108" w:type="dxa"/>
            <w:bottom w:w="0" w:type="dxa"/>
            <w:right w:w="108" w:type="dxa"/>
          </w:tblCellMar>
        </w:tblPrEx>
        <w:trPr>
          <w:cantSplit/>
          <w:trHeight w:val="15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能量系统优化：</w:t>
            </w:r>
            <w:r>
              <w:rPr>
                <w:rFonts w:hint="eastAsia" w:ascii="仿宋" w:hAnsi="仿宋" w:eastAsia="仿宋" w:cs="仿宋"/>
                <w:b w:val="0"/>
                <w:bCs/>
                <w:color w:val="000000"/>
                <w:kern w:val="2"/>
                <w:sz w:val="21"/>
                <w:szCs w:val="21"/>
                <w:u w:val="none"/>
                <w:lang w:bidi="ar"/>
              </w:rPr>
              <w:t>矿山企业通过工艺流程优化、系统技术集成应用、能量系统设计与控制优化等技术手段，对生产过程能源流、物质流、信息流实施协同优化，提高能源梯级利用成效，使生产系统整体能效提升的节能改造</w:t>
            </w:r>
            <w:r>
              <w:rPr>
                <w:rFonts w:hint="eastAsia" w:ascii="仿宋" w:hAnsi="仿宋" w:eastAsia="仿宋" w:cs="仿宋"/>
                <w:b/>
                <w:color w:val="000000"/>
                <w:kern w:val="2"/>
                <w:sz w:val="21"/>
                <w:szCs w:val="21"/>
                <w:u w:val="none"/>
                <w:lang w:bidi="ar"/>
              </w:rPr>
              <w:t>。</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bCs/>
                <w:color w:val="000000"/>
                <w:kern w:val="0"/>
                <w:szCs w:val="21"/>
                <w:lang w:bidi="ar"/>
              </w:rPr>
            </w:pPr>
            <w:r>
              <w:rPr>
                <w:rFonts w:hint="eastAsia" w:ascii="仿宋" w:hAnsi="仿宋" w:eastAsia="仿宋" w:cs="仿宋"/>
                <w:b w:val="0"/>
                <w:bCs/>
                <w:color w:val="000000"/>
                <w:kern w:val="2"/>
                <w:sz w:val="21"/>
                <w:szCs w:val="21"/>
                <w:u w:val="none"/>
                <w:lang w:bidi="ar"/>
              </w:rPr>
              <w:t>《能量系统优化导则》(GB/T35071)、《工业园区物质流分析技术导则》(GB/T38903)</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《绿色低碳转型产业指导目录（2024年版）》1.3.6</w:t>
            </w:r>
          </w:p>
        </w:tc>
      </w:tr>
      <w:tr>
        <w:tblPrEx>
          <w:tblCellMar>
            <w:top w:w="0" w:type="dxa"/>
            <w:left w:w="108" w:type="dxa"/>
            <w:bottom w:w="0" w:type="dxa"/>
            <w:right w:w="108" w:type="dxa"/>
          </w:tblCellMar>
        </w:tblPrEx>
        <w:trPr>
          <w:cantSplit/>
          <w:trHeight w:val="70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5</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节能降碳改造和能效提升：</w:t>
            </w:r>
            <w:r>
              <w:rPr>
                <w:rFonts w:hint="eastAsia" w:ascii="仿宋" w:hAnsi="仿宋" w:eastAsia="仿宋" w:cs="仿宋"/>
                <w:b w:val="0"/>
                <w:bCs/>
                <w:color w:val="000000"/>
                <w:kern w:val="2"/>
                <w:sz w:val="21"/>
                <w:szCs w:val="21"/>
                <w:u w:val="none"/>
                <w:lang w:bidi="ar"/>
              </w:rPr>
              <w:t>矿山企业在生产过程中采用先进技术、工艺、设备等实现节能降碳改造和能效提升的活动。改造后需达到国家强制性能耗限额标准先进值</w:t>
            </w:r>
            <w:r>
              <w:rPr>
                <w:rFonts w:hint="eastAsia" w:ascii="仿宋" w:hAnsi="仿宋" w:eastAsia="仿宋" w:cs="仿宋"/>
                <w:b/>
                <w:color w:val="000000"/>
                <w:kern w:val="2"/>
                <w:sz w:val="21"/>
                <w:szCs w:val="21"/>
                <w:u w:val="none"/>
                <w:lang w:bidi="ar"/>
              </w:rPr>
              <w:t>。</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bCs/>
                <w:color w:val="000000"/>
                <w:kern w:val="0"/>
                <w:szCs w:val="21"/>
                <w:lang w:bidi="ar"/>
              </w:rPr>
            </w:pPr>
            <w:r>
              <w:rPr>
                <w:rFonts w:hint="eastAsia" w:ascii="仿宋" w:hAnsi="仿宋" w:eastAsia="仿宋" w:cs="仿宋"/>
                <w:b w:val="0"/>
                <w:bCs/>
                <w:color w:val="000000"/>
                <w:kern w:val="2"/>
                <w:sz w:val="21"/>
                <w:szCs w:val="21"/>
                <w:u w:val="none"/>
                <w:lang w:bidi="ar"/>
              </w:rPr>
              <w:t>《工业重点领域能效标杆水平和基准水平》</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《绿色低碳转型产业指导目录（2024年版）》1.4.1</w:t>
            </w:r>
          </w:p>
        </w:tc>
      </w:tr>
      <w:tr>
        <w:tblPrEx>
          <w:tblCellMar>
            <w:top w:w="0" w:type="dxa"/>
            <w:left w:w="108" w:type="dxa"/>
            <w:bottom w:w="0" w:type="dxa"/>
            <w:right w:w="108" w:type="dxa"/>
          </w:tblCellMar>
        </w:tblPrEx>
        <w:trPr>
          <w:cantSplit/>
          <w:trHeight w:val="15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6</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工艺改进和流程优化：</w:t>
            </w:r>
            <w:r>
              <w:rPr>
                <w:rFonts w:hint="eastAsia" w:ascii="仿宋" w:hAnsi="仿宋" w:eastAsia="仿宋" w:cs="仿宋"/>
                <w:b w:val="0"/>
                <w:bCs/>
                <w:color w:val="000000"/>
                <w:kern w:val="2"/>
                <w:sz w:val="21"/>
                <w:szCs w:val="21"/>
                <w:u w:val="none"/>
                <w:lang w:bidi="ar"/>
              </w:rPr>
              <w:t>矿山企业以提高生产效率、降低资源消耗、减少污染物和温室气体排放等为目的，开展的工艺改进和流程优化活动，如绿色能源及原燃料替代、资源循环利用、环保减排改造、流程优化再造、低碳产品开发、原料低碳加工、冶炼技术突破、产品结构优化、绿色低碳产业链建设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《绿色低碳转型产业指导目录（2024年版）》1.4.2</w:t>
            </w:r>
          </w:p>
        </w:tc>
      </w:tr>
      <w:tr>
        <w:tblPrEx>
          <w:tblCellMar>
            <w:top w:w="0" w:type="dxa"/>
            <w:left w:w="108" w:type="dxa"/>
            <w:bottom w:w="0" w:type="dxa"/>
            <w:right w:w="108" w:type="dxa"/>
          </w:tblCellMar>
        </w:tblPrEx>
        <w:trPr>
          <w:cantSplit/>
          <w:trHeight w:val="566"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7</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工业节能改造：</w:t>
            </w:r>
            <w:r>
              <w:rPr>
                <w:rFonts w:hint="eastAsia" w:ascii="仿宋" w:hAnsi="仿宋" w:eastAsia="仿宋" w:cs="仿宋"/>
                <w:b w:val="0"/>
                <w:bCs/>
                <w:color w:val="000000"/>
                <w:kern w:val="2"/>
                <w:sz w:val="21"/>
                <w:szCs w:val="21"/>
                <w:u w:val="none"/>
                <w:lang w:bidi="ar"/>
              </w:rPr>
              <w:t>采用设备更新、技术改造、控制系统优化等技术手段，对电机系统（含系统内风机、水泵、压缩机、变压器等设备）实施的设备或综合性系统节能改造；对输配电线路、变电系统等设备或系统实施电网节能改造。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《绿色低碳转型产业指导目录（2024年版）》1.3.3，1.3.4</w:t>
            </w:r>
          </w:p>
        </w:tc>
      </w:tr>
      <w:tr>
        <w:tblPrEx>
          <w:tblCellMar>
            <w:top w:w="0" w:type="dxa"/>
            <w:left w:w="108" w:type="dxa"/>
            <w:bottom w:w="0" w:type="dxa"/>
            <w:right w:w="108" w:type="dxa"/>
          </w:tblCellMar>
        </w:tblPrEx>
        <w:trPr>
          <w:cantSplit/>
          <w:trHeight w:val="1424"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8</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绿色照明改造：</w:t>
            </w:r>
            <w:r>
              <w:rPr>
                <w:rFonts w:hint="eastAsia" w:ascii="仿宋" w:hAnsi="仿宋" w:eastAsia="仿宋" w:cs="仿宋"/>
                <w:b w:val="0"/>
                <w:bCs/>
                <w:color w:val="000000"/>
                <w:kern w:val="2"/>
                <w:sz w:val="21"/>
                <w:szCs w:val="21"/>
                <w:u w:val="none"/>
                <w:lang w:bidi="ar"/>
              </w:rPr>
              <w:t>采用半导体通用照明产品、高压钠灯、金属卤化物灯等高效照明产品(不包括含汞灯)，高效照明控制系统，以及采用自然光为光源等实施办公区、生产区、生活区及公共场所的照明节能改造</w:t>
            </w:r>
            <w:r>
              <w:rPr>
                <w:rFonts w:hint="eastAsia" w:ascii="仿宋" w:hAnsi="仿宋" w:eastAsia="仿宋" w:cs="仿宋"/>
                <w:b/>
                <w:color w:val="000000"/>
                <w:kern w:val="2"/>
                <w:sz w:val="21"/>
                <w:szCs w:val="21"/>
                <w:u w:val="none"/>
                <w:lang w:bidi="ar"/>
              </w:rPr>
              <w:t>。</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《LED城市道路照明应用技术要求》(GB/T31832)、《隧道照明用LED灯具性能要求》(GB/T32481)、《室内照明用LED产品能效限定值及能效等级》(GB30255)、《道路和隧道照明用LED灯具能效限定值及能效等级》(GB37478)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《绿色低碳转型产业指导目录（2024年版）》1.3.7</w:t>
            </w:r>
          </w:p>
        </w:tc>
      </w:tr>
      <w:tr>
        <w:tblPrEx>
          <w:tblCellMar>
            <w:top w:w="0" w:type="dxa"/>
            <w:left w:w="108" w:type="dxa"/>
            <w:bottom w:w="0" w:type="dxa"/>
            <w:right w:w="108" w:type="dxa"/>
          </w:tblCellMar>
        </w:tblPrEx>
        <w:trPr>
          <w:cantSplit/>
          <w:trHeight w:val="143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9</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煤炭清洁高效利用：</w:t>
            </w:r>
            <w:r>
              <w:rPr>
                <w:rFonts w:hint="eastAsia" w:ascii="仿宋" w:hAnsi="仿宋" w:eastAsia="仿宋" w:cs="仿宋"/>
                <w:color w:val="000000"/>
                <w:kern w:val="2"/>
                <w:sz w:val="21"/>
                <w:szCs w:val="21"/>
                <w:u w:val="none"/>
                <w:lang w:bidi="ar"/>
              </w:rPr>
              <w:t>矿山企业生产过程中清洁燃烧和清洁供热、煤炭资源综合利用、煤炭分质分级利用、散煤治理等。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《工业重点领域能效标杆水平和基准水平(2023年版)》(发改产业〔2023〕723号)、《煤炭清洁高效利用重点领域标杆水平和基准水平(2022年版)》(发改运行〔2022〕559号)、《工业窑炉用清洁燃料型煤》(GB/T 31861)</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《绿色低碳转型产业指导目录（2024年版）》4.4.2</w:t>
            </w:r>
          </w:p>
        </w:tc>
      </w:tr>
      <w:tr>
        <w:tblPrEx>
          <w:tblCellMar>
            <w:top w:w="0" w:type="dxa"/>
            <w:left w:w="108" w:type="dxa"/>
            <w:bottom w:w="0" w:type="dxa"/>
            <w:right w:w="108" w:type="dxa"/>
          </w:tblCellMar>
        </w:tblPrEx>
        <w:trPr>
          <w:cantSplit/>
          <w:trHeight w:val="2756"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bidi="ar"/>
              </w:rPr>
              <w:t>减碳</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碳监测评估：</w:t>
            </w:r>
            <w:r>
              <w:rPr>
                <w:rFonts w:hint="eastAsia" w:ascii="仿宋" w:hAnsi="仿宋" w:eastAsia="仿宋" w:cs="仿宋"/>
                <w:color w:val="000000"/>
                <w:kern w:val="2"/>
                <w:sz w:val="21"/>
                <w:szCs w:val="21"/>
                <w:u w:val="none"/>
                <w:lang w:bidi="ar"/>
              </w:rPr>
              <w:t>矿区碳监测点位布设、碳监测设备采购、碳排放反演模型搭建、碳监测数据联网应用平台建设、碳监测质量控制和标准规范体系建立等,对矿区水、空气、土壤、固体废物、地下水、噪声、辐射、新污染物等进行生态环境监测。</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《绿色低碳转型产业指导目录（2024年版）》7.3.6,</w:t>
            </w:r>
          </w:p>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7.3.8</w:t>
            </w:r>
          </w:p>
        </w:tc>
      </w:tr>
      <w:tr>
        <w:tblPrEx>
          <w:tblCellMar>
            <w:top w:w="0" w:type="dxa"/>
            <w:left w:w="108" w:type="dxa"/>
            <w:bottom w:w="0" w:type="dxa"/>
            <w:right w:w="108" w:type="dxa"/>
          </w:tblCellMar>
        </w:tblPrEx>
        <w:trPr>
          <w:cantSplit/>
          <w:trHeight w:val="14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碳排放核算、核查：</w:t>
            </w:r>
            <w:r>
              <w:rPr>
                <w:rFonts w:hint="eastAsia" w:ascii="仿宋" w:hAnsi="仿宋" w:eastAsia="仿宋" w:cs="仿宋"/>
                <w:color w:val="000000"/>
                <w:kern w:val="2"/>
                <w:sz w:val="21"/>
                <w:szCs w:val="21"/>
                <w:u w:val="none"/>
                <w:lang w:bidi="ar"/>
              </w:rPr>
              <w:t>包括温室气体排放相关检验检测、核算报告编制、第三方核查、核查人员培训、核查数据库建设、碳排放核查结果抽查校核，温室气体自愿减排项目设计与审定、减排量核算与核查服务，以及碳减排方案咨询与服务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《企业温室气体排放核算与报告指南发电设施》(环办气候函〔2022〕485号)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《绿色低碳转型产业指导目录（2024年版）》7.4.3</w:t>
            </w:r>
          </w:p>
        </w:tc>
      </w:tr>
      <w:tr>
        <w:tblPrEx>
          <w:tblCellMar>
            <w:top w:w="0" w:type="dxa"/>
            <w:left w:w="108" w:type="dxa"/>
            <w:bottom w:w="0" w:type="dxa"/>
            <w:right w:w="108" w:type="dxa"/>
          </w:tblCellMar>
        </w:tblPrEx>
        <w:trPr>
          <w:cantSplit/>
          <w:trHeight w:val="154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二氧化碳捕集利用与封存：</w:t>
            </w:r>
            <w:r>
              <w:rPr>
                <w:rFonts w:hint="eastAsia" w:ascii="仿宋" w:hAnsi="仿宋" w:eastAsia="仿宋" w:cs="仿宋"/>
                <w:color w:val="000000"/>
                <w:kern w:val="2"/>
                <w:sz w:val="21"/>
                <w:szCs w:val="21"/>
                <w:u w:val="none"/>
                <w:lang w:bidi="ar"/>
              </w:rPr>
              <w:t>矿山企业将二氧化碳从生产、能源利用过程中产生的废气或大气中分离出来，加以资源化利用、注入地层封存，如二氧化碳驱油、二氧化碳地质封存、生物质能碳捕集与封存、直接空气捕集等技术应用。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《绿色低碳转型产业指导目录（2024年版）》1.5.1</w:t>
            </w:r>
          </w:p>
        </w:tc>
      </w:tr>
      <w:tr>
        <w:tblPrEx>
          <w:tblCellMar>
            <w:top w:w="0" w:type="dxa"/>
            <w:left w:w="108" w:type="dxa"/>
            <w:bottom w:w="0" w:type="dxa"/>
            <w:right w:w="108" w:type="dxa"/>
          </w:tblCellMar>
        </w:tblPrEx>
        <w:trPr>
          <w:cantSplit/>
          <w:trHeight w:val="141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集中供热系统低碳化运营、改造：</w:t>
            </w:r>
            <w:r>
              <w:rPr>
                <w:rFonts w:hint="eastAsia" w:ascii="仿宋" w:hAnsi="仿宋" w:eastAsia="仿宋" w:cs="仿宋"/>
                <w:b w:val="0"/>
                <w:bCs/>
                <w:color w:val="000000"/>
                <w:kern w:val="2"/>
                <w:sz w:val="21"/>
                <w:szCs w:val="21"/>
                <w:u w:val="none"/>
                <w:lang w:bidi="ar"/>
              </w:rPr>
              <w:t>实施热泵、生物质能、地热能、太阳能等清洁能源低碳供暖，促进供热锅炉节能减碳环保改造等。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《绿色低碳转型产业指导目录（2024年版）》6.5.3</w:t>
            </w:r>
          </w:p>
        </w:tc>
      </w:tr>
      <w:tr>
        <w:tblPrEx>
          <w:tblCellMar>
            <w:top w:w="0" w:type="dxa"/>
            <w:left w:w="108" w:type="dxa"/>
            <w:bottom w:w="0" w:type="dxa"/>
            <w:right w:w="108" w:type="dxa"/>
          </w:tblCellMar>
        </w:tblPrEx>
        <w:trPr>
          <w:cantSplit/>
          <w:trHeight w:val="151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2"/>
                <w:sz w:val="21"/>
                <w:szCs w:val="21"/>
                <w:u w:val="none"/>
                <w:lang w:val="en-US" w:eastAsia="zh-CN" w:bidi="ar"/>
              </w:rPr>
              <w:t>4.</w:t>
            </w:r>
            <w:r>
              <w:rPr>
                <w:rFonts w:hint="eastAsia" w:ascii="仿宋" w:hAnsi="仿宋" w:eastAsia="仿宋" w:cs="仿宋"/>
                <w:color w:val="000000"/>
                <w:kern w:val="2"/>
                <w:sz w:val="21"/>
                <w:szCs w:val="21"/>
                <w:u w:val="none"/>
                <w:lang w:bidi="ar"/>
              </w:rPr>
              <w:t>源头预防</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default" w:eastAsia="宋体"/>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1项</w:t>
            </w:r>
            <w:bookmarkStart w:id="0" w:name="_GoBack"/>
            <w:bookmarkEnd w:id="0"/>
            <w:r>
              <w:rPr>
                <w:rFonts w:hint="eastAsia" w:ascii="仿宋" w:hAnsi="仿宋" w:eastAsia="仿宋" w:cs="仿宋"/>
                <w:color w:val="000000"/>
                <w:kern w:val="2"/>
                <w:sz w:val="21"/>
                <w:szCs w:val="21"/>
                <w:u w:val="none"/>
                <w:lang w:val="en-US" w:eastAsia="zh-CN" w:bidi="ar"/>
              </w:rPr>
              <w:t>）</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bidi="ar"/>
              </w:rPr>
              <w:t>水体保护及地下水污染防治：</w:t>
            </w:r>
            <w:r>
              <w:rPr>
                <w:rFonts w:hint="eastAsia" w:ascii="仿宋" w:hAnsi="仿宋" w:eastAsia="仿宋" w:cs="仿宋"/>
                <w:color w:val="000000"/>
                <w:kern w:val="2"/>
                <w:sz w:val="21"/>
                <w:szCs w:val="21"/>
                <w:u w:val="none"/>
                <w:lang w:bidi="ar"/>
              </w:rPr>
              <w:t>包括严格保护江河源头及水质达到或优于I类的江河湖库，开展生物缓冲带建设，实施报废矿井、钻井、取水井封井回填，开展矿山开采区域地下水污染调查、预防和区划、风险评估及污染治理等。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《绿色低碳转型产业指导目录（2024年版）》2.3.1</w:t>
            </w:r>
          </w:p>
        </w:tc>
      </w:tr>
      <w:tr>
        <w:tblPrEx>
          <w:tblCellMar>
            <w:top w:w="0" w:type="dxa"/>
            <w:left w:w="108" w:type="dxa"/>
            <w:bottom w:w="0" w:type="dxa"/>
            <w:right w:w="108" w:type="dxa"/>
          </w:tblCellMar>
        </w:tblPrEx>
        <w:trPr>
          <w:cantSplit/>
          <w:trHeight w:val="15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废物排放</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工业脱硫脱硝除尘改造：</w:t>
            </w:r>
            <w:r>
              <w:rPr>
                <w:rFonts w:hint="eastAsia" w:ascii="仿宋" w:hAnsi="仿宋" w:eastAsia="仿宋" w:cs="仿宋"/>
                <w:color w:val="000000"/>
                <w:kern w:val="2"/>
                <w:sz w:val="21"/>
                <w:szCs w:val="21"/>
                <w:u w:val="none"/>
                <w:lang w:bidi="ar"/>
              </w:rPr>
              <w:t>矿山生产过程中脱硫脱硝除尘改造，高炉煤气和焦炉煤气精脱硫，低氮燃烧改造，按照重污染天气重点行业绩效分级指标开展绩效等级提升改造。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《产业园区废气综合利用原则和要求》(GB/T 36574)、《燃煤烟气脱硝装备运行效果评价技术要求》(GB/T 34340)、《燃煤烟气脱硫装备运行效果评价技术要求》(GB/T 34605)、《钢铁烧结烟气脱硫除尘装备运行效果评价技术要求》(GB/T 34607)</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《绿色低碳转型产业指导目录（2024年版）》2.2.1</w:t>
            </w:r>
          </w:p>
        </w:tc>
      </w:tr>
      <w:tr>
        <w:tblPrEx>
          <w:tblCellMar>
            <w:top w:w="0" w:type="dxa"/>
            <w:left w:w="108" w:type="dxa"/>
            <w:bottom w:w="0" w:type="dxa"/>
            <w:right w:w="108" w:type="dxa"/>
          </w:tblCellMar>
        </w:tblPrEx>
        <w:trPr>
          <w:cantSplit/>
          <w:trHeight w:val="85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重点行业超低排放改造：</w:t>
            </w:r>
            <w:r>
              <w:rPr>
                <w:rFonts w:hint="eastAsia" w:ascii="仿宋" w:hAnsi="仿宋" w:eastAsia="仿宋" w:cs="仿宋"/>
                <w:color w:val="000000"/>
                <w:kern w:val="2"/>
                <w:sz w:val="21"/>
                <w:szCs w:val="21"/>
                <w:u w:val="none"/>
                <w:lang w:bidi="ar"/>
              </w:rPr>
              <w:t>矿山企业针对颗粒物、氧化硫、氮氧化物、挥发性有机物、氨等污染物开展的有组织排放、无组织排放、清洁运输改造。需符合本行业国家、地方超低排放相关法规政策和标准规范要求。</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《绿色低碳转型产业指导目录（2024年版）》2.2.2</w:t>
            </w:r>
          </w:p>
        </w:tc>
      </w:tr>
      <w:tr>
        <w:tblPrEx>
          <w:tblCellMar>
            <w:top w:w="0" w:type="dxa"/>
            <w:left w:w="108" w:type="dxa"/>
            <w:bottom w:w="0" w:type="dxa"/>
            <w:right w:w="108" w:type="dxa"/>
          </w:tblCellMar>
        </w:tblPrEx>
        <w:trPr>
          <w:cantSplit/>
          <w:trHeight w:val="15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color w:val="000000"/>
                <w:kern w:val="2"/>
                <w:sz w:val="21"/>
                <w:szCs w:val="21"/>
                <w:u w:val="none"/>
                <w:lang w:bidi="ar"/>
              </w:rPr>
              <w:t>工</w:t>
            </w:r>
            <w:r>
              <w:rPr>
                <w:rFonts w:hint="eastAsia" w:ascii="仿宋" w:hAnsi="仿宋" w:eastAsia="仿宋" w:cs="仿宋"/>
                <w:b/>
                <w:bCs/>
                <w:color w:val="000000"/>
                <w:kern w:val="2"/>
                <w:sz w:val="21"/>
                <w:szCs w:val="21"/>
                <w:u w:val="none"/>
                <w:lang w:bidi="ar"/>
              </w:rPr>
              <w:t>业厂矿大气污染物无组织排放控制：</w:t>
            </w:r>
            <w:r>
              <w:rPr>
                <w:rFonts w:hint="eastAsia" w:ascii="仿宋" w:hAnsi="仿宋" w:eastAsia="仿宋" w:cs="仿宋"/>
                <w:color w:val="000000"/>
                <w:kern w:val="2"/>
                <w:sz w:val="21"/>
                <w:szCs w:val="21"/>
                <w:u w:val="none"/>
                <w:lang w:bidi="ar"/>
              </w:rPr>
              <w:t>矿区中不经过排气筒的、开放式作业场所逸散的以及通过缝隙、通风口、敞开门窗和类似开口(孔)排放的无组织大气污染物排放等进行控制，按照重污染天气重点行业绩效分级指标开展绩效等级提升改造。</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《绿色低碳转型产业指导目录（2024年版）》2.2.4</w:t>
            </w:r>
          </w:p>
        </w:tc>
      </w:tr>
      <w:tr>
        <w:tblPrEx>
          <w:tblCellMar>
            <w:top w:w="0" w:type="dxa"/>
            <w:left w:w="108" w:type="dxa"/>
            <w:bottom w:w="0" w:type="dxa"/>
            <w:right w:w="108" w:type="dxa"/>
          </w:tblCellMar>
        </w:tblPrEx>
        <w:trPr>
          <w:cantSplit/>
          <w:trHeight w:val="113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恶臭污染治理</w:t>
            </w:r>
            <w:r>
              <w:rPr>
                <w:rFonts w:hint="eastAsia" w:ascii="仿宋" w:hAnsi="仿宋" w:eastAsia="仿宋" w:cs="仿宋"/>
                <w:color w:val="000000"/>
                <w:kern w:val="2"/>
                <w:sz w:val="21"/>
                <w:szCs w:val="21"/>
                <w:u w:val="none"/>
                <w:lang w:bidi="ar"/>
              </w:rPr>
              <w:t>：矿山生产活动中产生恶臭气体的企业安装净化装置或采取其他工程技术措施开展恶臭污染治理。</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《恶臭污染物排放标准》(GB 14554)</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《绿色低碳转型产业指导目录（2024年版）》2.5.4</w:t>
            </w:r>
          </w:p>
        </w:tc>
      </w:tr>
      <w:tr>
        <w:tblPrEx>
          <w:tblCellMar>
            <w:top w:w="0" w:type="dxa"/>
            <w:left w:w="108" w:type="dxa"/>
            <w:bottom w:w="0" w:type="dxa"/>
            <w:right w:w="108" w:type="dxa"/>
          </w:tblCellMar>
        </w:tblPrEx>
        <w:trPr>
          <w:cantSplit/>
          <w:trHeight w:val="1275"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textAlignment w:val="center"/>
              <w:rPr>
                <w:rFonts w:hint="eastAsia" w:ascii="仿宋" w:hAnsi="仿宋" w:eastAsia="仿宋" w:cs="仿宋"/>
                <w:color w:val="000000"/>
                <w:kern w:val="2"/>
                <w:szCs w:val="21"/>
                <w:lang w:eastAsia="zh-CN"/>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6.</w:t>
            </w:r>
            <w:r>
              <w:rPr>
                <w:rFonts w:hint="eastAsia" w:ascii="仿宋" w:hAnsi="仿宋" w:eastAsia="仿宋" w:cs="仿宋"/>
                <w:color w:val="000000"/>
                <w:kern w:val="0"/>
                <w:szCs w:val="21"/>
                <w:lang w:bidi="ar"/>
              </w:rPr>
              <w:t>废物排放</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3项）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废气回收利用：</w:t>
            </w:r>
            <w:r>
              <w:rPr>
                <w:rFonts w:hint="eastAsia" w:ascii="仿宋" w:hAnsi="仿宋" w:eastAsia="仿宋" w:cs="仿宋"/>
                <w:color w:val="000000"/>
                <w:kern w:val="2"/>
                <w:sz w:val="21"/>
                <w:szCs w:val="21"/>
                <w:u w:val="none"/>
                <w:lang w:bidi="ar"/>
              </w:rPr>
              <w:t>矿山企业生产过程中产生的各类废气进行能源化、原料化、资源化利用。如对荒煤气(焦炉煤气)、高炉煤气、转炉煤气、高硫天然气等废气进行能源化回收利用和生产燃料乙醇等原料化利用，对工业气、甲烷、硫化氢、氯、氯化氢、二氧化碳等废气开展提纯生产纯氢、硫磺及二氧化碳耦合制甲醇等原料化回收利用，对高纯度二氧化碳等废气进行原料化、矿化、驱油等回收利用，对生产含氢氯氟烃和氢氟碳化物过程中副产三氟甲烷等废气进行资源化利用，对烟气、窑炉废气等含尘废气进行资源化利用，对废气进行余热余压回收利用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《产业园区废气综合利用原则和要求》(GBT 36574)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《绿色低碳转型产业指导目录（2024年版）》3.2.7</w:t>
            </w:r>
          </w:p>
        </w:tc>
      </w:tr>
      <w:tr>
        <w:tblPrEx>
          <w:tblCellMar>
            <w:top w:w="0" w:type="dxa"/>
            <w:left w:w="108" w:type="dxa"/>
            <w:bottom w:w="0" w:type="dxa"/>
            <w:right w:w="108" w:type="dxa"/>
          </w:tblCellMar>
        </w:tblPrEx>
        <w:trPr>
          <w:cantSplit/>
          <w:trHeight w:val="106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噪声和振动污染治理：</w:t>
            </w:r>
            <w:r>
              <w:rPr>
                <w:rFonts w:hint="eastAsia" w:ascii="仿宋" w:hAnsi="仿宋" w:eastAsia="仿宋" w:cs="仿宋"/>
                <w:color w:val="000000"/>
                <w:kern w:val="2"/>
                <w:sz w:val="21"/>
                <w:szCs w:val="21"/>
                <w:u w:val="none"/>
                <w:lang w:bidi="ar"/>
              </w:rPr>
              <w:t>矿山企业生产过程中噪声和振动污染治理。</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《声环境质量标准》(GB3096)、《工业企业厂界环境噪声排放标准》(GB12348)、《建筑环境通用规范》(GB55016)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《绿色低碳转型产业指导目录（2024年版）》2.5.3</w:t>
            </w:r>
          </w:p>
        </w:tc>
      </w:tr>
      <w:tr>
        <w:tblPrEx>
          <w:tblCellMar>
            <w:top w:w="0" w:type="dxa"/>
            <w:left w:w="108" w:type="dxa"/>
            <w:bottom w:w="0" w:type="dxa"/>
            <w:right w:w="108" w:type="dxa"/>
          </w:tblCellMar>
        </w:tblPrEx>
        <w:trPr>
          <w:cantSplit/>
          <w:trHeight w:val="141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危险废物处置处理：</w:t>
            </w:r>
            <w:r>
              <w:rPr>
                <w:rFonts w:hint="eastAsia" w:ascii="仿宋" w:hAnsi="仿宋" w:eastAsia="仿宋" w:cs="仿宋"/>
                <w:color w:val="000000"/>
                <w:kern w:val="2"/>
                <w:sz w:val="21"/>
                <w:szCs w:val="21"/>
                <w:u w:val="none"/>
                <w:lang w:bidi="ar"/>
              </w:rPr>
              <w:t>矿山企业对危险废物的资源化、减量化、无害化处理设施建设和运营。</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《危险废物焚烧污染控制标准》(GB 18484)、《危险废物贮存污染控制标准》(GB 18597)、《危险废物填埋污染控制标准》(GB 18598)、《危险废物收集、贮存、运输技术规范》(HJ 2025)、《危险废物处置工程技术导则》(HJ 2042)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《绿色低碳转型产业指导目录（2024年版）》2.5.2</w:t>
            </w:r>
          </w:p>
        </w:tc>
      </w:tr>
      <w:tr>
        <w:tblPrEx>
          <w:tblCellMar>
            <w:top w:w="0" w:type="dxa"/>
            <w:left w:w="108" w:type="dxa"/>
            <w:bottom w:w="0" w:type="dxa"/>
            <w:right w:w="108" w:type="dxa"/>
          </w:tblCellMar>
        </w:tblPrEx>
        <w:trPr>
          <w:cantSplit/>
          <w:trHeight w:val="850"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eastAsia="zh-CN" w:bidi="ar"/>
              </w:rPr>
              <w:t>五、</w:t>
            </w:r>
            <w:r>
              <w:rPr>
                <w:rFonts w:hint="eastAsia" w:ascii="仿宋" w:hAnsi="仿宋" w:eastAsia="仿宋" w:cs="仿宋"/>
                <w:color w:val="000000"/>
                <w:kern w:val="0"/>
                <w:szCs w:val="21"/>
                <w:lang w:bidi="ar"/>
              </w:rPr>
              <w:t>生态修复与环境治理</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3项）</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矿山地质环境治理恢复与土地复垦</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10项）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建设用地污染治理：</w:t>
            </w:r>
            <w:r>
              <w:rPr>
                <w:rFonts w:hint="eastAsia" w:ascii="仿宋" w:hAnsi="仿宋" w:eastAsia="仿宋" w:cs="仿宋"/>
                <w:color w:val="000000"/>
                <w:kern w:val="2"/>
                <w:sz w:val="21"/>
                <w:szCs w:val="21"/>
                <w:u w:val="none"/>
                <w:lang w:bidi="ar"/>
              </w:rPr>
              <w:t>矿山企业开展建设用地土壤污染状况调查与监测、风险评估，以及采用转移、吸收、降解等物理、化学、生物工程技术措施，降低土壤污染物含量水平，使建设用地土壤环境质量符合相关规划用地土壤环境质量要求，提升建设用地土壤利用价值。</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val="en-US" w:eastAsia="zh-CN" w:bidi="ar"/>
              </w:rPr>
              <w:t>中华人民共和国土壤污染防治法工矿用地土壤环境管理办法（试行）、甘肃省土污染防治条例、土壤环境质量 建设用地土壤污染风险管控标准（试行）（GB36600-2018）、 建设用地土壤污染风险管控和修复术语（HJ682-2019）、建设用地土壤污染状况调查技术导则（HJ25.1-2019）、建设用地土壤污染风险管控和修复监测技术导则（ HJ25.2-2019）、建设用地土壤污染风险评估技术导则（HJ25.3-2019 ）、建设用地土壤修复技术导则（HJ25.4-2019）</w:t>
            </w:r>
            <w:r>
              <w:rPr>
                <w:rFonts w:hint="eastAsia" w:ascii="仿宋" w:hAnsi="仿宋" w:eastAsia="仿宋" w:cs="仿宋"/>
                <w:color w:val="000000"/>
                <w:kern w:val="2"/>
                <w:szCs w:val="21"/>
                <w:lang w:eastAsia="zh-CN" w:bidi="ar"/>
              </w:rPr>
              <w:t>、</w:t>
            </w: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《绿色低碳转型产业指导目录（2024年版）》2.4.2</w:t>
            </w:r>
          </w:p>
        </w:tc>
      </w:tr>
      <w:tr>
        <w:tblPrEx>
          <w:tblCellMar>
            <w:top w:w="0" w:type="dxa"/>
            <w:left w:w="108" w:type="dxa"/>
            <w:bottom w:w="0" w:type="dxa"/>
            <w:right w:w="108" w:type="dxa"/>
          </w:tblCellMar>
        </w:tblPrEx>
        <w:trPr>
          <w:cantSplit/>
          <w:trHeight w:val="85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林地保护修复：</w:t>
            </w:r>
            <w:r>
              <w:rPr>
                <w:rFonts w:hint="eastAsia" w:ascii="仿宋" w:hAnsi="仿宋" w:eastAsia="仿宋" w:cs="仿宋"/>
                <w:color w:val="000000"/>
                <w:kern w:val="2"/>
                <w:sz w:val="21"/>
                <w:szCs w:val="21"/>
                <w:u w:val="none"/>
                <w:lang w:bidi="ar"/>
              </w:rPr>
              <w:t>矿山企业对征用的林地开展天然林退化修复工程(如采用乡土树种的坡耕地还林、人工造林、封山育林、抚育性采伐等)。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《林业资源分类与代码自然保护区》(GB/T15778)、《森林抚育规程》(GB/T15781)、《国有林区标准化苗圃》(LY/T1185)、《天然林资源保护工程建设评价技术规程》(LY/T1818)、《森林采伐作业规程》(LY/T1646)</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《绿色低碳转型产业指导目录（2024年版）》5.2.3</w:t>
            </w:r>
          </w:p>
        </w:tc>
      </w:tr>
      <w:tr>
        <w:tblPrEx>
          <w:tblCellMar>
            <w:top w:w="0" w:type="dxa"/>
            <w:left w:w="108" w:type="dxa"/>
            <w:bottom w:w="0" w:type="dxa"/>
            <w:right w:w="108" w:type="dxa"/>
          </w:tblCellMar>
        </w:tblPrEx>
        <w:trPr>
          <w:cantSplit/>
          <w:trHeight w:val="203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草地保护修复：</w:t>
            </w:r>
            <w:r>
              <w:rPr>
                <w:rFonts w:hint="eastAsia" w:ascii="仿宋" w:hAnsi="仿宋" w:eastAsia="仿宋" w:cs="仿宋"/>
                <w:color w:val="000000"/>
                <w:kern w:val="2"/>
                <w:sz w:val="21"/>
                <w:szCs w:val="21"/>
                <w:u w:val="none"/>
                <w:lang w:bidi="ar"/>
              </w:rPr>
              <w:t>矿山企业对征用的草地开展的草原生态监测、植被重建、退化草原改良等活动及其必须的装备和基础设施建设。</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人工草地建设技术规程》(NY/T13420)、《草地潜松犁》(GB/T25422)、《沙地草场牧草补播技术规程》(GB/T27514)、《退化草地修复技术规范》(GB/T37067)、《草地资源调查技术规程》(NY/T2998)、《草原资源与生态监测技术规程》(NY/T1233)、《草原健康状况评价》(GB/T21439)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《绿色低碳转型产业指导目录（2024年版）》5.2.4</w:t>
            </w:r>
          </w:p>
        </w:tc>
      </w:tr>
      <w:tr>
        <w:tblPrEx>
          <w:tblCellMar>
            <w:top w:w="0" w:type="dxa"/>
            <w:left w:w="108" w:type="dxa"/>
            <w:bottom w:w="0" w:type="dxa"/>
            <w:right w:w="108" w:type="dxa"/>
          </w:tblCellMar>
        </w:tblPrEx>
        <w:trPr>
          <w:cantSplit/>
          <w:trHeight w:val="70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水土流失综合治理：</w:t>
            </w:r>
            <w:r>
              <w:rPr>
                <w:rFonts w:hint="eastAsia" w:ascii="仿宋" w:hAnsi="仿宋" w:eastAsia="仿宋" w:cs="仿宋"/>
                <w:color w:val="000000"/>
                <w:kern w:val="2"/>
                <w:sz w:val="21"/>
                <w:szCs w:val="21"/>
                <w:u w:val="none"/>
                <w:lang w:bidi="ar"/>
              </w:rPr>
              <w:t>包括通过治坡(梯田、台地、鱼鳞坑建设等)、治沟(地坝、拦沙坝等)等工程措施，种草造林等植物措施开展的水土流失综合治理活动。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《水土保持工程设计规范》(GB51018)、《水土保持综合治理技术规范》(GB/T16453)、《淤地坝技术规范》(SLIT804)</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《绿色低碳转型产业指导目录（2024年版）》5.2.7</w:t>
            </w:r>
          </w:p>
        </w:tc>
      </w:tr>
      <w:tr>
        <w:tblPrEx>
          <w:tblCellMar>
            <w:top w:w="0" w:type="dxa"/>
            <w:left w:w="108" w:type="dxa"/>
            <w:bottom w:w="0" w:type="dxa"/>
            <w:right w:w="108" w:type="dxa"/>
          </w:tblCellMar>
        </w:tblPrEx>
        <w:trPr>
          <w:cantSplit/>
          <w:trHeight w:val="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5</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重点区域生态保护和修复：</w:t>
            </w:r>
            <w:r>
              <w:rPr>
                <w:rFonts w:hint="eastAsia" w:ascii="仿宋" w:hAnsi="仿宋" w:eastAsia="仿宋" w:cs="仿宋"/>
                <w:color w:val="000000"/>
                <w:kern w:val="2"/>
                <w:sz w:val="21"/>
                <w:szCs w:val="21"/>
                <w:u w:val="none"/>
                <w:lang w:bidi="ar"/>
              </w:rPr>
              <w:t>黄河重点生态区(含黄土高原生态屏障)、长江重点生态区(含川滇生态屏障)、北方防沙带等重点区域，开展的天然林草恢复、封山育林、沙化土地封禁保护、退化土地治理等生态保护和修复活动。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造林技术规程》(GB/T15776)、《退化防护林修复技术规程》(LY/T3179)、《防沙治沙技术规范》(GB/T21141)、《生产建设项目水土流失防治标准》(GB/T50434)、《水土保持工程设计规范》(GB51018)、《水土保持综合治理技术规范》《重要湿地监测指标体系》(GB/T27648)(GB/T16453)、《湿地生态风险评估技术规范》(GB27647)、《河湖生态保护与修复规划导则》(SL709)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《绿色低碳转型产业指导目录（2024年版）》5.2.8</w:t>
            </w:r>
          </w:p>
        </w:tc>
      </w:tr>
      <w:tr>
        <w:tblPrEx>
          <w:tblCellMar>
            <w:top w:w="0" w:type="dxa"/>
            <w:left w:w="108" w:type="dxa"/>
            <w:bottom w:w="0" w:type="dxa"/>
            <w:right w:w="108" w:type="dxa"/>
          </w:tblCellMar>
        </w:tblPrEx>
        <w:trPr>
          <w:cantSplit/>
          <w:trHeight w:val="156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6</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采煤沉陷区综合治理：</w:t>
            </w:r>
            <w:r>
              <w:rPr>
                <w:rFonts w:hint="eastAsia" w:ascii="仿宋" w:hAnsi="仿宋" w:eastAsia="仿宋" w:cs="仿宋"/>
                <w:color w:val="000000"/>
                <w:kern w:val="2"/>
                <w:sz w:val="21"/>
                <w:szCs w:val="21"/>
                <w:u w:val="none"/>
                <w:lang w:bidi="ar"/>
              </w:rPr>
              <w:t>煤矿企业在采煤沉陷区开展的土地整治、生态修复与环境整治等生态恢复活动、非煤接续替代产业平台建设等。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lang w:bidi="ar"/>
              </w:rPr>
            </w:pPr>
            <w:r>
              <w:rPr>
                <w:rFonts w:hint="eastAsia" w:ascii="仿宋" w:hAnsi="仿宋" w:eastAsia="仿宋" w:cs="仿宋"/>
                <w:color w:val="000000"/>
                <w:kern w:val="2"/>
                <w:szCs w:val="21"/>
                <w:lang w:bidi="ar"/>
              </w:rPr>
              <w:t>《煤炭行业绿色矿山建设规范》（DZ/T 0315-2018）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《绿色低碳转型产业指导目录（2024年版）》5.3.1</w:t>
            </w:r>
          </w:p>
        </w:tc>
      </w:tr>
      <w:tr>
        <w:tblPrEx>
          <w:tblCellMar>
            <w:top w:w="0" w:type="dxa"/>
            <w:left w:w="108" w:type="dxa"/>
            <w:bottom w:w="0" w:type="dxa"/>
            <w:right w:w="108" w:type="dxa"/>
          </w:tblCellMar>
        </w:tblPrEx>
        <w:trPr>
          <w:cantSplit/>
          <w:trHeight w:val="156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7</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地下水超采区治理与修复：</w:t>
            </w:r>
            <w:r>
              <w:rPr>
                <w:rFonts w:hint="eastAsia" w:ascii="仿宋" w:hAnsi="仿宋" w:eastAsia="仿宋" w:cs="仿宋"/>
                <w:color w:val="000000"/>
                <w:kern w:val="2"/>
                <w:sz w:val="21"/>
                <w:szCs w:val="21"/>
                <w:u w:val="none"/>
                <w:lang w:bidi="ar"/>
              </w:rPr>
              <w:t>地下水超采区开展的工业节水改造、调水水利工程、地下水水源置换工程、生态补水等地下水超采区治理与修复活动。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《绿色低碳转型产业指导目录（2024年版）》5.3.2</w:t>
            </w:r>
          </w:p>
        </w:tc>
      </w:tr>
      <w:tr>
        <w:tblPrEx>
          <w:tblCellMar>
            <w:top w:w="0" w:type="dxa"/>
            <w:left w:w="108" w:type="dxa"/>
            <w:bottom w:w="0" w:type="dxa"/>
            <w:right w:w="108" w:type="dxa"/>
          </w:tblCellMar>
        </w:tblPrEx>
        <w:trPr>
          <w:cantSplit/>
          <w:trHeight w:val="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8</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矿山地质环境恢复治理和生态修复：</w:t>
            </w:r>
            <w:r>
              <w:rPr>
                <w:rFonts w:hint="eastAsia" w:ascii="仿宋" w:hAnsi="仿宋" w:eastAsia="仿宋" w:cs="仿宋"/>
                <w:color w:val="000000"/>
                <w:kern w:val="2"/>
                <w:sz w:val="21"/>
                <w:szCs w:val="21"/>
                <w:u w:val="none"/>
                <w:lang w:bidi="ar"/>
              </w:rPr>
              <w:t>矿山企业对因矿产资源开采造成的地质环境破坏、土地损毁和植被破坏等矿山生态问题进行修复，使矿山地质环境达到稳定、损毁土地得到复垦利用、生态系统功能得到恢复和改善的相关活动。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《矿山地质环境保护与土地复垦方案》、《矿山生态修复技术规范第1部分:通则》(TD/T 1070.1)及分矿种专则、《矿山废弃地植被恢复技术规程》(LY/T2356)、《土地复垦质量控制标准》(TD/T 1036)、《矿山地质环境监测技术规程》(DZ/T 0287)、《土地复垦方案编制规程》(TD/T 1031)、《生产项目土地复垦验收规程》(TD/T 1044)、《矿山土地复垦基础信息调查规程》(TD/T 1049)、《矿山环境地质分类》(GB/T 22206)</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《绿色低碳转型产业指导目录（2024年版）》5.3.4</w:t>
            </w:r>
          </w:p>
        </w:tc>
      </w:tr>
      <w:tr>
        <w:tblPrEx>
          <w:tblCellMar>
            <w:top w:w="0" w:type="dxa"/>
            <w:left w:w="108" w:type="dxa"/>
            <w:bottom w:w="0" w:type="dxa"/>
            <w:right w:w="108" w:type="dxa"/>
          </w:tblCellMar>
        </w:tblPrEx>
        <w:trPr>
          <w:cantSplit/>
          <w:trHeight w:val="172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9</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环境污染第三方治理：</w:t>
            </w:r>
            <w:r>
              <w:rPr>
                <w:rFonts w:hint="eastAsia" w:ascii="仿宋" w:hAnsi="仿宋" w:eastAsia="仿宋" w:cs="仿宋"/>
                <w:color w:val="000000"/>
                <w:kern w:val="2"/>
                <w:sz w:val="21"/>
                <w:szCs w:val="21"/>
                <w:u w:val="none"/>
                <w:lang w:bidi="ar"/>
              </w:rPr>
              <w:t>矿山企业在大气污染治理、水污染治理、土壤污染治理、噪声和振动污染治理、其他污染治理和环境综合整治等环境污染的第三方治理项目。</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《绿色低碳转型产业指导目录（2024年版）》7.2.6</w:t>
            </w:r>
          </w:p>
        </w:tc>
      </w:tr>
      <w:tr>
        <w:tblPrEx>
          <w:tblCellMar>
            <w:top w:w="0" w:type="dxa"/>
            <w:left w:w="108" w:type="dxa"/>
            <w:bottom w:w="0" w:type="dxa"/>
            <w:right w:w="108" w:type="dxa"/>
          </w:tblCellMar>
        </w:tblPrEx>
        <w:trPr>
          <w:cantSplit/>
          <w:trHeight w:val="162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10</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地质灾害危险性评估：</w:t>
            </w:r>
            <w:r>
              <w:rPr>
                <w:rFonts w:hint="eastAsia" w:ascii="仿宋" w:hAnsi="仿宋" w:eastAsia="仿宋" w:cs="仿宋"/>
                <w:color w:val="000000"/>
                <w:kern w:val="2"/>
                <w:sz w:val="21"/>
                <w:szCs w:val="21"/>
                <w:u w:val="none"/>
                <w:lang w:bidi="ar"/>
              </w:rPr>
              <w:t>矿区范围内塌方、滑坡、泥石流、地面塌陷、地裂缝、地面沉降等地质灾害的危险性评价、灾害区易损性评价、地质灾害破坏损失评价等。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《地质灾害危险性评估规范》(GB/T 40112)</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《绿色低碳转型产业指导目录（2024年版）》7.4.10</w:t>
            </w:r>
          </w:p>
        </w:tc>
      </w:tr>
      <w:tr>
        <w:tblPrEx>
          <w:tblCellMar>
            <w:top w:w="0" w:type="dxa"/>
            <w:left w:w="108" w:type="dxa"/>
            <w:bottom w:w="0" w:type="dxa"/>
            <w:right w:w="108" w:type="dxa"/>
          </w:tblCellMar>
        </w:tblPrEx>
        <w:trPr>
          <w:cantSplit/>
          <w:trHeight w:val="175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2.</w:t>
            </w:r>
            <w:r>
              <w:rPr>
                <w:rFonts w:hint="eastAsia" w:ascii="仿宋" w:hAnsi="仿宋" w:eastAsia="仿宋" w:cs="仿宋"/>
                <w:color w:val="000000"/>
                <w:kern w:val="0"/>
                <w:szCs w:val="21"/>
                <w:lang w:bidi="ar"/>
              </w:rPr>
              <w:t>矿山环境动态监测</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315" w:rightChars="-15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Cs w:val="21"/>
              </w:rPr>
              <w:t>生态环境监测系统建设和运营：</w:t>
            </w:r>
            <w:r>
              <w:rPr>
                <w:rFonts w:hint="eastAsia" w:ascii="仿宋" w:hAnsi="仿宋" w:eastAsia="仿宋" w:cs="仿宋"/>
                <w:color w:val="000000"/>
                <w:kern w:val="2"/>
                <w:szCs w:val="21"/>
              </w:rPr>
              <w:t>矿山企业对大气、地表水、地下水、土壤、生态质量、消耗臭氧层物质及其他温室气体、噪声、辐射等环境监测系统的建设和运营，系统采样分析设备、监测仪器、计算机、监测车辆、监测无人机、监测气球等硬件设备购置、安装建设及软件系统开发，污染源自动监测设施建设和运营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《绿色低碳转型产业指导目录（2024年版）》6.4.9</w:t>
            </w:r>
          </w:p>
        </w:tc>
      </w:tr>
      <w:tr>
        <w:tblPrEx>
          <w:tblCellMar>
            <w:top w:w="0" w:type="dxa"/>
            <w:left w:w="108" w:type="dxa"/>
            <w:bottom w:w="0" w:type="dxa"/>
            <w:right w:w="108" w:type="dxa"/>
          </w:tblCellMar>
        </w:tblPrEx>
        <w:trPr>
          <w:cantSplit/>
          <w:trHeight w:val="16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环境损害监测评估：</w:t>
            </w:r>
            <w:r>
              <w:rPr>
                <w:rFonts w:hint="eastAsia" w:ascii="仿宋" w:hAnsi="仿宋" w:eastAsia="仿宋" w:cs="仿宋"/>
                <w:color w:val="000000"/>
                <w:kern w:val="2"/>
                <w:sz w:val="21"/>
                <w:szCs w:val="21"/>
                <w:u w:val="none"/>
                <w:lang w:bidi="ar"/>
              </w:rPr>
              <w:t>矿山企业对环境损害评估监测方案设计、环境损害鉴定评估、环境损害应急处置方案设计、环境损害法律咨询服务、环境损害保险服务等。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《绿色低碳转型产业指导目录（2024年版）》7.3.3</w:t>
            </w:r>
          </w:p>
        </w:tc>
      </w:tr>
      <w:tr>
        <w:tblPrEx>
          <w:tblCellMar>
            <w:top w:w="0" w:type="dxa"/>
            <w:left w:w="108" w:type="dxa"/>
            <w:bottom w:w="0" w:type="dxa"/>
            <w:right w:w="108" w:type="dxa"/>
          </w:tblCellMar>
        </w:tblPrEx>
        <w:trPr>
          <w:cantSplit/>
          <w:trHeight w:val="70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污染源监测：</w:t>
            </w:r>
            <w:r>
              <w:rPr>
                <w:rFonts w:hint="eastAsia" w:ascii="仿宋" w:hAnsi="仿宋" w:eastAsia="仿宋" w:cs="仿宋"/>
                <w:color w:val="000000"/>
                <w:kern w:val="2"/>
                <w:sz w:val="21"/>
                <w:szCs w:val="21"/>
                <w:u w:val="none"/>
                <w:lang w:bidi="ar"/>
              </w:rPr>
              <w:t>矿山企业开展污染源监测设备采购、污染源监测数据库建设、污染物排放计量和监测设备校准服务等。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《绿色低碳转型产业指导目录（2024年版）》7.3.4</w:t>
            </w:r>
          </w:p>
        </w:tc>
      </w:tr>
      <w:tr>
        <w:tblPrEx>
          <w:tblCellMar>
            <w:top w:w="0" w:type="dxa"/>
            <w:left w:w="108" w:type="dxa"/>
            <w:bottom w:w="0" w:type="dxa"/>
            <w:right w:w="108" w:type="dxa"/>
          </w:tblCellMar>
        </w:tblPrEx>
        <w:trPr>
          <w:cantSplit/>
          <w:trHeight w:val="17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color w:val="000000"/>
                <w:kern w:val="2"/>
                <w:sz w:val="21"/>
                <w:szCs w:val="21"/>
                <w:u w:val="none"/>
                <w:lang w:bidi="ar"/>
              </w:rPr>
              <w:t>生态环境质量监测与评估：</w:t>
            </w:r>
            <w:r>
              <w:rPr>
                <w:rFonts w:hint="eastAsia" w:ascii="仿宋" w:hAnsi="仿宋" w:eastAsia="仿宋" w:cs="仿宋"/>
                <w:color w:val="000000"/>
                <w:kern w:val="2"/>
                <w:sz w:val="21"/>
                <w:szCs w:val="21"/>
                <w:u w:val="none"/>
                <w:lang w:bidi="ar"/>
              </w:rPr>
              <w:t>矿山企业开展水环境、大气环境、土壤环境、噪声与振动环境质量监测与评估。</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《关于建立健全生态产品价值实现机制的意见》、《全国重要生态系统保护和修复重大工程总体规划(2021-2035年)》(发改农经〔2020〕837号)、《森林生态系统长期定位观测方法》(GB/T 33027)、《森林生态系统长期定位观测指标体系》(GB/T 35377)、《森林生态系统服务功能评估规范》(GB/T 38582)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《绿色低碳转型产业指导目录（2024年版）》7.4.7</w:t>
            </w:r>
          </w:p>
        </w:tc>
      </w:tr>
      <w:tr>
        <w:tblPrEx>
          <w:tblCellMar>
            <w:top w:w="0" w:type="dxa"/>
            <w:left w:w="108" w:type="dxa"/>
            <w:bottom w:w="0" w:type="dxa"/>
            <w:right w:w="108" w:type="dxa"/>
          </w:tblCellMar>
        </w:tblPrEx>
        <w:trPr>
          <w:cantSplit/>
          <w:trHeight w:val="156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2"/>
                <w:sz w:val="21"/>
                <w:szCs w:val="21"/>
                <w:u w:val="none"/>
                <w:lang w:val="en-US" w:eastAsia="zh-CN" w:bidi="ar"/>
              </w:rPr>
              <w:t>3.</w:t>
            </w:r>
            <w:r>
              <w:rPr>
                <w:rFonts w:hint="eastAsia" w:ascii="仿宋" w:hAnsi="仿宋" w:eastAsia="仿宋" w:cs="仿宋"/>
                <w:color w:val="000000"/>
                <w:kern w:val="2"/>
                <w:sz w:val="21"/>
                <w:szCs w:val="21"/>
                <w:u w:val="none"/>
                <w:lang w:bidi="ar"/>
              </w:rPr>
              <w:t>环境管理体系</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default" w:eastAsia="宋体"/>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2项）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环境影响评价：</w:t>
            </w:r>
            <w:r>
              <w:rPr>
                <w:rFonts w:hint="eastAsia" w:ascii="仿宋" w:hAnsi="仿宋" w:eastAsia="仿宋" w:cs="仿宋"/>
                <w:color w:val="000000"/>
                <w:kern w:val="2"/>
                <w:sz w:val="21"/>
                <w:szCs w:val="21"/>
                <w:u w:val="none"/>
                <w:lang w:bidi="ar"/>
              </w:rPr>
              <w:t>矿山建设项目的环境影响评价、环境影响及跟踪监测解决方案设计、环境影响法律咨询、环境影响数据库建设、环境影响技术评估、环境风险评估、环境应急控制方案编制、环境应急预案制定等。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《绿色低碳转型产业指导目录（2024年版）》7.4.6</w:t>
            </w:r>
          </w:p>
        </w:tc>
      </w:tr>
      <w:tr>
        <w:tblPrEx>
          <w:tblCellMar>
            <w:top w:w="0" w:type="dxa"/>
            <w:left w:w="108" w:type="dxa"/>
            <w:bottom w:w="0" w:type="dxa"/>
            <w:right w:w="108" w:type="dxa"/>
          </w:tblCellMar>
        </w:tblPrEx>
        <w:trPr>
          <w:cantSplit/>
          <w:trHeight w:val="11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生态保护修复产品和生态系统评估：</w:t>
            </w:r>
            <w:r>
              <w:rPr>
                <w:rFonts w:hint="eastAsia" w:ascii="仿宋" w:hAnsi="仿宋" w:eastAsia="仿宋" w:cs="仿宋"/>
                <w:color w:val="000000"/>
                <w:kern w:val="2"/>
                <w:sz w:val="21"/>
                <w:szCs w:val="21"/>
                <w:u w:val="none"/>
                <w:lang w:bidi="ar"/>
              </w:rPr>
              <w:t>包括生态保护修复产品认定、生态保护修复产品价值核算、生态保护修复产品评估、生态保护修复成效评估、生态系统服务价值评估等。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《全国生态状况调查评估技术规范--生态系统服务功能评估》(HJ1173)、《生态保护修复成效评估技术指南(试行)》(HJ1272)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《绿色低碳转型产业指导目录（2024年版）》7.4.9</w:t>
            </w:r>
          </w:p>
        </w:tc>
      </w:tr>
      <w:tr>
        <w:tblPrEx>
          <w:tblCellMar>
            <w:top w:w="0" w:type="dxa"/>
            <w:left w:w="108" w:type="dxa"/>
            <w:bottom w:w="0" w:type="dxa"/>
            <w:right w:w="108" w:type="dxa"/>
          </w:tblCellMar>
        </w:tblPrEx>
        <w:trPr>
          <w:cantSplit/>
          <w:trHeight w:val="1460"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eastAsia="zh-CN" w:bidi="ar"/>
              </w:rPr>
              <w:t>六、</w:t>
            </w:r>
            <w:r>
              <w:rPr>
                <w:rFonts w:hint="eastAsia" w:ascii="仿宋" w:hAnsi="仿宋" w:eastAsia="仿宋" w:cs="仿宋"/>
                <w:color w:val="000000"/>
                <w:kern w:val="0"/>
                <w:szCs w:val="21"/>
                <w:lang w:bidi="ar"/>
              </w:rPr>
              <w:t>科技创新与规范管理</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3项）</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2"/>
                <w:sz w:val="21"/>
                <w:szCs w:val="21"/>
                <w:u w:val="none"/>
                <w:lang w:val="en-US" w:eastAsia="zh-CN" w:bidi="ar"/>
              </w:rPr>
              <w:t>1.</w:t>
            </w:r>
            <w:r>
              <w:rPr>
                <w:rFonts w:hint="eastAsia" w:ascii="仿宋" w:hAnsi="仿宋" w:eastAsia="仿宋" w:cs="仿宋"/>
                <w:color w:val="000000"/>
                <w:kern w:val="2"/>
                <w:sz w:val="21"/>
                <w:szCs w:val="21"/>
                <w:u w:val="none"/>
                <w:lang w:bidi="ar"/>
              </w:rPr>
              <w:t>科技创新</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default" w:eastAsia="宋体"/>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8项）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节能采矿专用设备制造及使用：</w:t>
            </w:r>
            <w:r>
              <w:rPr>
                <w:rFonts w:hint="eastAsia" w:ascii="仿宋" w:hAnsi="仿宋" w:eastAsia="仿宋" w:cs="仿宋"/>
                <w:color w:val="000000"/>
                <w:kern w:val="2"/>
                <w:sz w:val="21"/>
                <w:szCs w:val="21"/>
                <w:u w:val="none"/>
                <w:lang w:bidi="ar"/>
              </w:rPr>
              <w:t>包括节能型建井设备、采掘和凿岩设备、撬毛设备、支护设备、井下运输及通风设备、矿山提升设备、矿物破碎机械、矿物粉磨机械、矿物筛分和洗选设备、矿山牵引车及其矿车、矿山设备专用配套件等制造及使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《绿色低碳转型产业指导目录（2024年版）》1.1.12</w:t>
            </w:r>
          </w:p>
        </w:tc>
      </w:tr>
      <w:tr>
        <w:tblPrEx>
          <w:tblCellMar>
            <w:top w:w="0" w:type="dxa"/>
            <w:left w:w="108" w:type="dxa"/>
            <w:bottom w:w="0" w:type="dxa"/>
            <w:right w:w="108" w:type="dxa"/>
          </w:tblCellMar>
        </w:tblPrEx>
        <w:trPr>
          <w:cantSplit/>
          <w:trHeight w:val="15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矿产资源综合利用装备制造及使用：</w:t>
            </w:r>
            <w:r>
              <w:rPr>
                <w:rFonts w:hint="eastAsia" w:ascii="仿宋" w:hAnsi="仿宋" w:eastAsia="仿宋" w:cs="仿宋"/>
                <w:color w:val="000000"/>
                <w:kern w:val="2"/>
                <w:sz w:val="21"/>
                <w:szCs w:val="21"/>
                <w:u w:val="none"/>
                <w:lang w:bidi="ar"/>
              </w:rPr>
              <w:t>包括能源矿产、黑色金属矿产、有色金属(含稀有金属)矿产、非金属矿产及共伴生矿资源综合利用等装备制造及使用。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《绿色低碳转型产业指导目录（2024年版）》3.1.1</w:t>
            </w:r>
          </w:p>
        </w:tc>
      </w:tr>
      <w:tr>
        <w:tblPrEx>
          <w:tblCellMar>
            <w:top w:w="0" w:type="dxa"/>
            <w:left w:w="108" w:type="dxa"/>
            <w:bottom w:w="0" w:type="dxa"/>
            <w:right w:w="108" w:type="dxa"/>
          </w:tblCellMar>
        </w:tblPrEx>
        <w:trPr>
          <w:cantSplit/>
          <w:trHeight w:val="146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工业固体废弃物综合利用装备制造及使用：</w:t>
            </w:r>
            <w:r>
              <w:rPr>
                <w:rFonts w:hint="eastAsia" w:ascii="仿宋" w:hAnsi="仿宋" w:eastAsia="仿宋" w:cs="仿宋"/>
                <w:color w:val="000000"/>
                <w:kern w:val="2"/>
                <w:sz w:val="21"/>
                <w:szCs w:val="21"/>
                <w:u w:val="none"/>
                <w:lang w:bidi="ar"/>
              </w:rPr>
              <w:t>包括煤矸石、粉煤灰、废旧滤袋等固体废弃物的综合利用，危险废物的利用等装备制造及使用。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《绿色低碳转型产业指导目录（2024年版）》3.1.3</w:t>
            </w:r>
          </w:p>
        </w:tc>
      </w:tr>
      <w:tr>
        <w:tblPrEx>
          <w:tblCellMar>
            <w:top w:w="0" w:type="dxa"/>
            <w:left w:w="108" w:type="dxa"/>
            <w:bottom w:w="0" w:type="dxa"/>
            <w:right w:w="108" w:type="dxa"/>
          </w:tblCellMar>
        </w:tblPrEx>
        <w:trPr>
          <w:cantSplit/>
          <w:trHeight w:val="10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地热能开发利用装备制造及使用：</w:t>
            </w:r>
            <w:r>
              <w:rPr>
                <w:rFonts w:hint="eastAsia" w:ascii="仿宋" w:hAnsi="仿宋" w:eastAsia="仿宋" w:cs="仿宋"/>
                <w:color w:val="000000"/>
                <w:kern w:val="2"/>
                <w:sz w:val="21"/>
                <w:szCs w:val="21"/>
                <w:u w:val="none"/>
                <w:lang w:bidi="ar"/>
              </w:rPr>
              <w:t>包括地源热泵、高温地热热泵、地热吸收式制冷、中低温地热发电、地热干燥及热水供应等系统和装备以及地热防腐防垢关键设备、深层地热闭环工质循环采热装备等制造及使用。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绿色低碳转型产业指导目录4.1.7</w:t>
            </w:r>
          </w:p>
        </w:tc>
      </w:tr>
      <w:tr>
        <w:tblPrEx>
          <w:tblCellMar>
            <w:top w:w="0" w:type="dxa"/>
            <w:left w:w="108" w:type="dxa"/>
            <w:bottom w:w="0" w:type="dxa"/>
            <w:right w:w="108" w:type="dxa"/>
          </w:tblCellMar>
        </w:tblPrEx>
        <w:trPr>
          <w:cantSplit/>
          <w:trHeight w:val="144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5</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非常规油气装备制造及使用：</w:t>
            </w:r>
            <w:r>
              <w:rPr>
                <w:rFonts w:hint="eastAsia" w:ascii="仿宋" w:hAnsi="仿宋" w:eastAsia="仿宋" w:cs="仿宋"/>
                <w:color w:val="000000"/>
                <w:kern w:val="2"/>
                <w:sz w:val="21"/>
                <w:szCs w:val="21"/>
                <w:u w:val="none"/>
                <w:lang w:bidi="ar"/>
              </w:rPr>
              <w:t>包括百万道级地震采集系统、多维高精度成像测井系统、深井自动化钻机、旋转导向钻井系统、深井超深井连续管作业装备、水下生产系统、11000吨半潜式起重铺管船、页岩水平井快速钻井装备、长寿命耐油井下动力钻具、埋深超过3500米页岩储层水平井分段压裂装备、钻井液及压裂返排液处理处置装备等制造及使用。</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《陆上石油天然气开采业绿色矿山建设规范》（DZ/T 0317-2018）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《绿色低碳转型产业指导目录（2024年版）》4.1.9</w:t>
            </w:r>
          </w:p>
        </w:tc>
      </w:tr>
      <w:tr>
        <w:tblPrEx>
          <w:tblCellMar>
            <w:top w:w="0" w:type="dxa"/>
            <w:left w:w="108" w:type="dxa"/>
            <w:bottom w:w="0" w:type="dxa"/>
            <w:right w:w="108" w:type="dxa"/>
          </w:tblCellMar>
        </w:tblPrEx>
        <w:trPr>
          <w:cantSplit/>
          <w:trHeight w:val="14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6</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绿色技术产品研发及使用：</w:t>
            </w:r>
            <w:r>
              <w:rPr>
                <w:rFonts w:hint="eastAsia" w:ascii="仿宋" w:hAnsi="仿宋" w:eastAsia="仿宋" w:cs="仿宋"/>
                <w:color w:val="000000"/>
                <w:kern w:val="2"/>
                <w:sz w:val="21"/>
                <w:szCs w:val="21"/>
                <w:u w:val="none"/>
                <w:lang w:bidi="ar"/>
              </w:rPr>
              <w:t>包括节能降碳、环境保护、资源循环利用、能源绿色低碳转型、生态保护修复和利用等领域先进技术产品研发及使用。产品需符合国家、地方相关标准规范要求。</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《绿色低碳转型产业指导目录（2024年版）》7.5.1</w:t>
            </w:r>
          </w:p>
        </w:tc>
      </w:tr>
      <w:tr>
        <w:tblPrEx>
          <w:tblCellMar>
            <w:top w:w="0" w:type="dxa"/>
            <w:left w:w="108" w:type="dxa"/>
            <w:bottom w:w="0" w:type="dxa"/>
            <w:right w:w="108" w:type="dxa"/>
          </w:tblCellMar>
        </w:tblPrEx>
        <w:trPr>
          <w:cantSplit/>
          <w:trHeight w:val="138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7</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绿色技术产品认证推广：</w:t>
            </w:r>
            <w:r>
              <w:rPr>
                <w:rFonts w:hint="eastAsia" w:ascii="仿宋" w:hAnsi="仿宋" w:eastAsia="仿宋" w:cs="仿宋"/>
                <w:color w:val="000000"/>
                <w:kern w:val="2"/>
                <w:sz w:val="21"/>
                <w:szCs w:val="21"/>
                <w:u w:val="none"/>
                <w:lang w:bidi="ar"/>
              </w:rPr>
              <w:t>包括节能降碳、环境保护、资源循环利用、能源绿色低碳转型、生态保护修复和利用等领域先进技术推广，工业固体废物资源综合利用产品、再制造产品认定和推广，合同能源管理服务认证等。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《绿色建材评价标识管理办法》(建科〔2014〕75号)、《绿色产品评价标准清单及认证目录(第一批、第二批、第三批、第四批)》(市场监管总局公告2018年第2号、2020年第59号、2021年第43号、2023年第24号)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《绿色低碳转型产业指导目录（2024年版）》7.5.2</w:t>
            </w:r>
          </w:p>
        </w:tc>
      </w:tr>
      <w:tr>
        <w:tblPrEx>
          <w:tblCellMar>
            <w:top w:w="0" w:type="dxa"/>
            <w:left w:w="108" w:type="dxa"/>
            <w:bottom w:w="0" w:type="dxa"/>
            <w:right w:w="108" w:type="dxa"/>
          </w:tblCellMar>
        </w:tblPrEx>
        <w:trPr>
          <w:cantSplit/>
          <w:trHeight w:val="164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8</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绿色技术交易：</w:t>
            </w:r>
            <w:r>
              <w:rPr>
                <w:rFonts w:hint="eastAsia" w:ascii="仿宋" w:hAnsi="仿宋" w:eastAsia="仿宋" w:cs="仿宋"/>
                <w:color w:val="000000"/>
                <w:kern w:val="2"/>
                <w:sz w:val="21"/>
                <w:szCs w:val="21"/>
                <w:u w:val="none"/>
                <w:lang w:bidi="ar"/>
              </w:rPr>
              <w:t>包括节能降碳、环境保护、资源循环利用、能源绿色低碳转型、生态保护修复和利用等领域先进技术交易，以及技术成果展示、成果转化、技术审核、技术评估、技术转移、所有权和使用权的转移等服务。</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《绿色低碳转型产业指导目录（2024年版）》7.5.3</w:t>
            </w:r>
          </w:p>
        </w:tc>
      </w:tr>
      <w:tr>
        <w:tblPrEx>
          <w:tblCellMar>
            <w:top w:w="0" w:type="dxa"/>
            <w:left w:w="108" w:type="dxa"/>
            <w:bottom w:w="0" w:type="dxa"/>
            <w:right w:w="108" w:type="dxa"/>
          </w:tblCellMar>
        </w:tblPrEx>
        <w:trPr>
          <w:cantSplit/>
          <w:trHeight w:val="14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2"/>
                <w:sz w:val="21"/>
                <w:szCs w:val="21"/>
                <w:u w:val="none"/>
                <w:lang w:val="en-US" w:eastAsia="zh-CN" w:bidi="ar"/>
              </w:rPr>
              <w:t>2.</w:t>
            </w:r>
            <w:r>
              <w:rPr>
                <w:rFonts w:hint="eastAsia" w:ascii="仿宋" w:hAnsi="仿宋" w:eastAsia="仿宋" w:cs="仿宋"/>
                <w:color w:val="000000"/>
                <w:kern w:val="2"/>
                <w:sz w:val="21"/>
                <w:szCs w:val="21"/>
                <w:u w:val="none"/>
                <w:lang w:bidi="ar"/>
              </w:rPr>
              <w:t>数字化矿山</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hint="default" w:eastAsia="宋体"/>
                <w:color w:val="000000"/>
                <w:kern w:val="2"/>
                <w:sz w:val="21"/>
                <w:szCs w:val="21"/>
                <w:lang w:bidi="ar"/>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4项）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能耗在线监测系统建设</w:t>
            </w:r>
            <w:r>
              <w:rPr>
                <w:rFonts w:hint="eastAsia" w:ascii="仿宋" w:hAnsi="仿宋" w:eastAsia="仿宋" w:cs="仿宋"/>
                <w:b/>
                <w:bCs/>
                <w:color w:val="000000"/>
                <w:kern w:val="2"/>
                <w:sz w:val="21"/>
                <w:szCs w:val="21"/>
                <w:u w:val="none"/>
                <w:lang w:bidi="ar"/>
              </w:rPr>
              <w:t>：</w:t>
            </w:r>
            <w:r>
              <w:rPr>
                <w:rFonts w:hint="eastAsia" w:ascii="仿宋" w:hAnsi="仿宋" w:eastAsia="仿宋" w:cs="仿宋"/>
                <w:color w:val="000000"/>
                <w:kern w:val="2"/>
                <w:sz w:val="21"/>
                <w:szCs w:val="21"/>
                <w:u w:val="none"/>
                <w:lang w:bidi="ar"/>
              </w:rPr>
              <w:t>矿区能耗监测、能源管控、碳排放管理等系统建设、使用和维护等。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《信息技术用能单位能耗在线监测系统第1部分:端设备数据传输接口》(GB/T37947.1)、《用能单位能耗在线监测技术要求》(GB/T38692)</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《绿色低碳转型产业指导目录（2024年版）》7.3.1</w:t>
            </w:r>
          </w:p>
        </w:tc>
      </w:tr>
      <w:tr>
        <w:tblPrEx>
          <w:tblCellMar>
            <w:top w:w="0" w:type="dxa"/>
            <w:left w:w="108" w:type="dxa"/>
            <w:bottom w:w="0" w:type="dxa"/>
            <w:right w:w="108" w:type="dxa"/>
          </w:tblCellMar>
        </w:tblPrEx>
        <w:trPr>
          <w:cantSplit/>
          <w:trHeight w:val="150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hint="default" w:eastAsia="宋体"/>
                <w:color w:val="000000"/>
                <w:kern w:val="2"/>
                <w:sz w:val="21"/>
                <w:szCs w:val="21"/>
                <w:lang w:bidi="ar"/>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hint="default" w:eastAsia="宋体"/>
                <w:color w:val="000000"/>
                <w:kern w:val="2"/>
                <w:sz w:val="21"/>
                <w:szCs w:val="21"/>
                <w:lang w:bidi="ar"/>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数字化赋能绿色低碳管理：</w:t>
            </w:r>
            <w:r>
              <w:rPr>
                <w:rFonts w:hint="eastAsia" w:ascii="仿宋" w:hAnsi="仿宋" w:eastAsia="仿宋" w:cs="仿宋"/>
                <w:color w:val="000000"/>
                <w:kern w:val="2"/>
                <w:sz w:val="21"/>
                <w:szCs w:val="21"/>
                <w:u w:val="none"/>
                <w:lang w:bidi="ar"/>
              </w:rPr>
              <w:t>包括利用数字化、信息化等技术，为矿山生产过程、跨行业耦合、跨区域协同、跨领域配合提供节能、节水、资源综合利用、数字化碳管理等绿色低碳相关管控和服务。</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《绿色低碳转型产业指导目录（2024年版）》7.2.7</w:t>
            </w:r>
          </w:p>
        </w:tc>
      </w:tr>
      <w:tr>
        <w:tblPrEx>
          <w:tblCellMar>
            <w:top w:w="0" w:type="dxa"/>
            <w:left w:w="108" w:type="dxa"/>
            <w:bottom w:w="0" w:type="dxa"/>
            <w:right w:w="108" w:type="dxa"/>
          </w:tblCellMar>
        </w:tblPrEx>
        <w:trPr>
          <w:cantSplit/>
          <w:trHeight w:val="70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3</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温室气体排放源监测：</w:t>
            </w:r>
            <w:r>
              <w:rPr>
                <w:rFonts w:hint="eastAsia" w:ascii="仿宋" w:hAnsi="仿宋" w:eastAsia="仿宋" w:cs="仿宋"/>
                <w:color w:val="000000"/>
                <w:kern w:val="2"/>
                <w:sz w:val="21"/>
                <w:szCs w:val="21"/>
                <w:u w:val="none"/>
                <w:lang w:bidi="ar"/>
              </w:rPr>
              <w:t>矿区温室气体等碳排放数据的核算和监控，相关信息化系统平台使用和分析评价、预警、监控、运营维护服务。</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《绿色低碳转型产业指导目录（2024年版）》7.3.2</w:t>
            </w:r>
          </w:p>
        </w:tc>
      </w:tr>
      <w:tr>
        <w:tblPrEx>
          <w:tblCellMar>
            <w:top w:w="0" w:type="dxa"/>
            <w:left w:w="108" w:type="dxa"/>
            <w:bottom w:w="0" w:type="dxa"/>
            <w:right w:w="108" w:type="dxa"/>
          </w:tblCellMar>
        </w:tblPrEx>
        <w:trPr>
          <w:cantSplit/>
          <w:trHeight w:val="157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4</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数字化、智能化升级：</w:t>
            </w:r>
            <w:r>
              <w:rPr>
                <w:rFonts w:hint="eastAsia" w:ascii="仿宋" w:hAnsi="仿宋" w:eastAsia="仿宋" w:cs="仿宋"/>
                <w:color w:val="000000"/>
                <w:kern w:val="2"/>
                <w:sz w:val="21"/>
                <w:szCs w:val="21"/>
                <w:u w:val="none"/>
                <w:lang w:bidi="ar"/>
              </w:rPr>
              <w:t>矿山企业以提升生产管理数字化、智能化水平为目的，开展的数字化、智能化升级活动，如能源、碳排放、污染物排放和重要物料等监测、管控系统及数据库建设，重点生产流程、环节及重要设备、系统等监测、分析、调度系统建设，数字化、远程化、无人化生产管理系统建设，生产线智能装备应用和智能化改造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Cs w:val="21"/>
                <w:lang w:bidi="ar"/>
              </w:rPr>
              <w:t>《非金属矿绿色矿山建设规范》（DZ/T 0312-2018）、《化工行业绿色矿山建设规范》（DZ/T 0313-2018）、《黄金行业绿色矿山建设规范》（DZ/T 0314-2018）、《煤炭行业绿色矿山建设规范》（DZ/T 0315-2018）、《砂石行业绿色矿山建设规范》（DZ/T 0316-2018）、《陆上石油天然气开采业绿色矿山建设规范》（DZ/T 0317-2018）、《水泥灰岩绿色矿山建设规范》（DZ/T 0318-2018）、《冶金行业绿色矿山建设规范》（DZ/T 0319-2018）、《有色金属行业绿色矿山建设规范》、（DZ/T 0320-2018）</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《绿色低碳转型产业指导目录（2024年版）》1.4.3</w:t>
            </w:r>
          </w:p>
        </w:tc>
      </w:tr>
      <w:tr>
        <w:tblPrEx>
          <w:tblCellMar>
            <w:top w:w="0" w:type="dxa"/>
            <w:left w:w="108" w:type="dxa"/>
            <w:bottom w:w="0" w:type="dxa"/>
            <w:right w:w="108" w:type="dxa"/>
          </w:tblCellMar>
        </w:tblPrEx>
        <w:trPr>
          <w:cantSplit/>
          <w:trHeight w:val="164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distribute"/>
              <w:textAlignment w:val="center"/>
              <w:rPr>
                <w:rFonts w:eastAsia="宋体"/>
                <w:kern w:val="2"/>
                <w:szCs w:val="24"/>
              </w:rPr>
            </w:pP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bidi="ar"/>
              </w:rPr>
              <w:t>规范管理</w:t>
            </w:r>
          </w:p>
          <w:p>
            <w:pPr>
              <w:keepNext w:val="0"/>
              <w:keepLines w:val="0"/>
              <w:pageBreakBefore w:val="0"/>
              <w:widowControl/>
              <w:kinsoku/>
              <w:wordWrap/>
              <w:overflowPunct/>
              <w:topLinePunct w:val="0"/>
              <w:autoSpaceDE/>
              <w:autoSpaceDN/>
              <w:bidi w:val="0"/>
              <w:adjustRightInd w:val="0"/>
              <w:snapToGrid w:val="0"/>
              <w:spacing w:line="240" w:lineRule="auto"/>
              <w:ind w:left="-210" w:leftChars="-100" w:right="-210" w:rightChars="-100" w:firstLine="0" w:firstLineChars="0"/>
              <w:jc w:val="center"/>
              <w:textAlignment w:val="center"/>
              <w:rPr>
                <w:rFonts w:ascii="仿宋" w:hAnsi="仿宋" w:eastAsia="仿宋" w:cs="仿宋"/>
                <w:color w:val="000000"/>
                <w:kern w:val="2"/>
                <w:szCs w:val="21"/>
              </w:rPr>
            </w:pPr>
            <w:r>
              <w:rPr>
                <w:rFonts w:hint="eastAsia" w:ascii="仿宋" w:hAnsi="仿宋" w:eastAsia="仿宋" w:cs="仿宋"/>
                <w:color w:val="000000"/>
                <w:kern w:val="2"/>
                <w:sz w:val="21"/>
                <w:szCs w:val="21"/>
                <w:u w:val="none"/>
                <w:lang w:eastAsia="zh-CN" w:bidi="ar"/>
              </w:rPr>
              <w:t>（</w:t>
            </w:r>
            <w:r>
              <w:rPr>
                <w:rFonts w:hint="eastAsia" w:ascii="仿宋" w:hAnsi="仿宋" w:eastAsia="仿宋" w:cs="仿宋"/>
                <w:color w:val="000000"/>
                <w:kern w:val="2"/>
                <w:sz w:val="21"/>
                <w:szCs w:val="21"/>
                <w:u w:val="none"/>
                <w:lang w:val="en-US" w:eastAsia="zh-CN" w:bidi="ar"/>
              </w:rPr>
              <w:t>2项）</w:t>
            </w: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1</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能源管理体系建设</w:t>
            </w:r>
            <w:r>
              <w:rPr>
                <w:rFonts w:hint="eastAsia" w:ascii="仿宋" w:hAnsi="仿宋" w:eastAsia="仿宋" w:cs="仿宋"/>
                <w:color w:val="000000"/>
                <w:kern w:val="2"/>
                <w:sz w:val="21"/>
                <w:szCs w:val="21"/>
                <w:u w:val="none"/>
                <w:lang w:bidi="ar"/>
              </w:rPr>
              <w:t>：矿山企业建立能源管理中心、能源管理体系咨询服务、能源管理标杆企业信息咨询、能源管理体系建设成效评估、能源管理体系认证服务等。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《能源管理体系要求》(GB/T23331)、《能源管理体系实施指南》(GB/T29456)、《水泥行业能源管理体系实施指南》(GB/T 30259)</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《绿色低碳转型产业指导目录（2024年版）》7.2.1</w:t>
            </w:r>
          </w:p>
        </w:tc>
      </w:tr>
      <w:tr>
        <w:tblPrEx>
          <w:tblCellMar>
            <w:top w:w="0" w:type="dxa"/>
            <w:left w:w="108" w:type="dxa"/>
            <w:bottom w:w="0" w:type="dxa"/>
            <w:right w:w="108" w:type="dxa"/>
          </w:tblCellMar>
        </w:tblPrEx>
        <w:trPr>
          <w:cantSplit/>
          <w:trHeight w:val="135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rPr>
                <w:rFonts w:ascii="仿宋" w:hAnsi="仿宋" w:eastAsia="仿宋" w:cs="仿宋"/>
                <w:color w:val="000000"/>
                <w:kern w:val="2"/>
                <w:szCs w:val="21"/>
              </w:rPr>
            </w:pPr>
          </w:p>
        </w:tc>
        <w:tc>
          <w:tcPr>
            <w:tcW w:w="5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210" w:firstLineChars="100"/>
              <w:jc w:val="both"/>
              <w:textAlignment w:val="center"/>
              <w:rPr>
                <w:rFonts w:ascii="仿宋" w:hAnsi="仿宋" w:eastAsia="仿宋" w:cs="仿宋"/>
                <w:b/>
                <w:color w:val="000000"/>
                <w:kern w:val="2"/>
                <w:szCs w:val="21"/>
              </w:rPr>
            </w:pP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val="en-US" w:eastAsia="zh-CN" w:bidi="ar"/>
              </w:rPr>
              <w:t>2</w:t>
            </w:r>
            <w:r>
              <w:rPr>
                <w:rFonts w:hint="eastAsia" w:ascii="仿宋" w:hAnsi="仿宋" w:eastAsia="仿宋" w:cs="仿宋"/>
                <w:b/>
                <w:bCs/>
                <w:color w:val="000000"/>
                <w:kern w:val="2"/>
                <w:sz w:val="21"/>
                <w:szCs w:val="21"/>
                <w:u w:val="none"/>
                <w:lang w:eastAsia="zh-CN" w:bidi="ar"/>
              </w:rPr>
              <w:t>）</w:t>
            </w:r>
            <w:r>
              <w:rPr>
                <w:rFonts w:hint="eastAsia" w:ascii="仿宋" w:hAnsi="仿宋" w:eastAsia="仿宋" w:cs="仿宋"/>
                <w:b/>
                <w:bCs/>
                <w:color w:val="000000"/>
                <w:kern w:val="2"/>
                <w:sz w:val="21"/>
                <w:szCs w:val="21"/>
                <w:u w:val="none"/>
                <w:lang w:bidi="ar"/>
              </w:rPr>
              <w:t>企业环境监测：</w:t>
            </w:r>
            <w:r>
              <w:rPr>
                <w:rFonts w:hint="eastAsia" w:ascii="仿宋" w:hAnsi="仿宋" w:eastAsia="仿宋" w:cs="仿宋"/>
                <w:color w:val="000000"/>
                <w:kern w:val="2"/>
                <w:sz w:val="21"/>
                <w:szCs w:val="21"/>
                <w:u w:val="none"/>
                <w:lang w:bidi="ar"/>
              </w:rPr>
              <w:t>矿山企业环境监测设备采购、环境监测服务、污染物监控人员培训等。</w:t>
            </w:r>
          </w:p>
        </w:tc>
        <w:tc>
          <w:tcPr>
            <w:tcW w:w="57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210" w:firstLineChars="100"/>
              <w:jc w:val="both"/>
              <w:textAlignment w:val="center"/>
              <w:rPr>
                <w:rFonts w:ascii="仿宋" w:hAnsi="仿宋" w:eastAsia="仿宋" w:cs="仿宋"/>
                <w:color w:val="000000"/>
                <w:kern w:val="0"/>
                <w:szCs w:val="21"/>
                <w:lang w:bidi="ar"/>
              </w:rPr>
            </w:pPr>
            <w:r>
              <w:rPr>
                <w:rFonts w:hint="eastAsia" w:ascii="仿宋" w:hAnsi="仿宋" w:eastAsia="仿宋" w:cs="仿宋"/>
                <w:color w:val="000000"/>
                <w:kern w:val="2"/>
                <w:sz w:val="21"/>
                <w:szCs w:val="21"/>
                <w:u w:val="none"/>
                <w:lang w:bidi="ar"/>
              </w:rPr>
              <w:t>《产业园区循环经济信息化公共平台数据接口规范》(GB/T 36578)</w:t>
            </w:r>
            <w:r>
              <w:rPr>
                <w:rFonts w:hint="eastAsia" w:ascii="仿宋" w:hAnsi="仿宋" w:eastAsia="仿宋" w:cs="仿宋"/>
                <w:color w:val="000000"/>
                <w:kern w:val="0"/>
                <w:szCs w:val="21"/>
                <w:lang w:bidi="ar"/>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both"/>
              <w:textAlignment w:val="center"/>
              <w:rPr>
                <w:rFonts w:ascii="仿宋" w:hAnsi="仿宋" w:eastAsia="仿宋" w:cs="仿宋"/>
                <w:color w:val="000000"/>
                <w:kern w:val="2"/>
                <w:szCs w:val="21"/>
              </w:rPr>
            </w:pPr>
            <w:r>
              <w:rPr>
                <w:rFonts w:hint="eastAsia" w:ascii="仿宋" w:hAnsi="仿宋" w:eastAsia="仿宋" w:cs="仿宋"/>
                <w:color w:val="000000"/>
                <w:kern w:val="0"/>
                <w:szCs w:val="21"/>
                <w:lang w:bidi="ar"/>
              </w:rPr>
              <w:t>《绿色低碳转型产业指导目录（2024年版）》7.3.5</w:t>
            </w:r>
          </w:p>
        </w:tc>
      </w:tr>
    </w:tbl>
    <w:p>
      <w:pPr>
        <w:widowControl/>
        <w:jc w:val="left"/>
        <w:rPr>
          <w:rFonts w:ascii="仿宋_GB2312" w:hAnsi="方正小标宋简体" w:eastAsia="仿宋_GB2312"/>
          <w:color w:val="000000"/>
          <w:sz w:val="32"/>
          <w:szCs w:val="32"/>
        </w:rPr>
        <w:sectPr>
          <w:footerReference r:id="rId6" w:type="default"/>
          <w:pgSz w:w="16838" w:h="11906" w:orient="landscape"/>
          <w:pgMar w:top="1417" w:right="1417" w:bottom="1417" w:left="1417" w:header="851" w:footer="992" w:gutter="0"/>
          <w:cols w:space="425" w:num="1"/>
          <w:docGrid w:type="lines" w:linePitch="312" w:charSpace="0"/>
        </w:sectPr>
      </w:pPr>
    </w:p>
    <w:p>
      <w:pPr>
        <w:adjustRightInd/>
        <w:snapToGrid/>
        <w:spacing w:line="240" w:lineRule="auto"/>
        <w:ind w:firstLine="0" w:firstLineChars="0"/>
        <w:jc w:val="both"/>
        <w:rPr>
          <w:rFonts w:ascii="黑体" w:hAnsi="黑体" w:eastAsia="黑体"/>
          <w:color w:val="000000"/>
          <w:kern w:val="2"/>
          <w:sz w:val="32"/>
          <w:szCs w:val="32"/>
        </w:rPr>
      </w:pPr>
      <w:r>
        <w:rPr>
          <w:rFonts w:hint="eastAsia" w:ascii="黑体" w:hAnsi="黑体" w:eastAsia="黑体"/>
          <w:color w:val="000000"/>
          <w:kern w:val="2"/>
          <w:sz w:val="32"/>
          <w:szCs w:val="32"/>
        </w:rPr>
        <w:t>附</w:t>
      </w:r>
      <w:r>
        <w:rPr>
          <w:rFonts w:hint="eastAsia" w:ascii="黑体" w:hAnsi="黑体" w:eastAsia="黑体"/>
          <w:color w:val="000000"/>
          <w:kern w:val="2"/>
          <w:sz w:val="32"/>
          <w:szCs w:val="32"/>
          <w:lang w:eastAsia="zh-CN"/>
        </w:rPr>
        <w:t>件</w:t>
      </w:r>
      <w:r>
        <w:rPr>
          <w:rFonts w:hint="eastAsia" w:ascii="黑体" w:hAnsi="黑体" w:eastAsia="黑体"/>
          <w:color w:val="000000"/>
          <w:kern w:val="2"/>
          <w:sz w:val="32"/>
          <w:szCs w:val="32"/>
        </w:rPr>
        <w:t>2</w:t>
      </w:r>
    </w:p>
    <w:p>
      <w:pPr>
        <w:adjustRightInd/>
        <w:snapToGrid/>
        <w:spacing w:line="240" w:lineRule="auto"/>
        <w:ind w:firstLine="0" w:firstLineChars="0"/>
        <w:jc w:val="center"/>
        <w:rPr>
          <w:rFonts w:ascii="方正小标宋简体" w:hAnsi="方正小标宋简体" w:eastAsia="方正小标宋简体"/>
          <w:color w:val="000000"/>
          <w:kern w:val="2"/>
          <w:sz w:val="32"/>
          <w:szCs w:val="32"/>
        </w:rPr>
      </w:pPr>
      <w:r>
        <w:rPr>
          <w:rFonts w:hint="eastAsia" w:ascii="方正小标宋简体" w:hAnsi="方正小标宋简体" w:eastAsia="方正小标宋简体"/>
          <w:color w:val="000000"/>
          <w:kern w:val="2"/>
          <w:sz w:val="32"/>
          <w:szCs w:val="32"/>
        </w:rPr>
        <w:t>甘肃省绿色矿山建设投融资项目入库申请表</w:t>
      </w:r>
    </w:p>
    <w:p>
      <w:pPr>
        <w:adjustRightInd/>
        <w:snapToGrid/>
        <w:spacing w:line="240" w:lineRule="auto"/>
        <w:ind w:firstLine="0" w:firstLineChars="0"/>
        <w:jc w:val="both"/>
        <w:rPr>
          <w:rFonts w:ascii="楷体_GB2312" w:hAnsi="方正小标宋简体" w:eastAsia="楷体_GB2312"/>
          <w:color w:val="000000"/>
          <w:kern w:val="2"/>
          <w:sz w:val="28"/>
          <w:szCs w:val="28"/>
        </w:rPr>
      </w:pPr>
      <w:r>
        <w:rPr>
          <w:rFonts w:hint="eastAsia" w:ascii="楷体_GB2312" w:hAnsi="方正小标宋简体" w:eastAsia="楷体_GB2312"/>
          <w:color w:val="000000"/>
          <w:kern w:val="2"/>
          <w:sz w:val="28"/>
          <w:szCs w:val="28"/>
        </w:rPr>
        <w:t>填报企业（盖章）：</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85"/>
        <w:gridCol w:w="1803"/>
        <w:gridCol w:w="129"/>
        <w:gridCol w:w="333"/>
        <w:gridCol w:w="112"/>
        <w:gridCol w:w="69"/>
        <w:gridCol w:w="1656"/>
        <w:gridCol w:w="122"/>
        <w:gridCol w:w="252"/>
        <w:gridCol w:w="41"/>
        <w:gridCol w:w="16"/>
        <w:gridCol w:w="67"/>
        <w:gridCol w:w="209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000" w:type="pct"/>
            <w:gridSpan w:val="15"/>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企业名称*</w:t>
            </w:r>
          </w:p>
        </w:tc>
        <w:tc>
          <w:tcPr>
            <w:tcW w:w="1018" w:type="pct"/>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c>
          <w:tcPr>
            <w:tcW w:w="1298" w:type="pct"/>
            <w:gridSpan w:val="5"/>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信用代码</w:t>
            </w:r>
          </w:p>
        </w:tc>
        <w:tc>
          <w:tcPr>
            <w:tcW w:w="1462" w:type="pct"/>
            <w:gridSpan w:val="6"/>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企业类型*</w:t>
            </w:r>
            <w:r>
              <w:rPr>
                <w:rFonts w:hint="eastAsia" w:ascii="仿宋" w:hAnsi="仿宋" w:eastAsia="仿宋" w:cs="仿宋"/>
                <w:color w:val="000000"/>
                <w:kern w:val="2"/>
                <w:sz w:val="24"/>
                <w:szCs w:val="24"/>
                <w:vertAlign w:val="superscript"/>
              </w:rPr>
              <w:t>1</w:t>
            </w:r>
          </w:p>
        </w:tc>
        <w:tc>
          <w:tcPr>
            <w:tcW w:w="1018" w:type="pct"/>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c>
          <w:tcPr>
            <w:tcW w:w="1298" w:type="pct"/>
            <w:gridSpan w:val="5"/>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注册资金（万元）*</w:t>
            </w:r>
          </w:p>
        </w:tc>
        <w:tc>
          <w:tcPr>
            <w:tcW w:w="1462" w:type="pct"/>
            <w:gridSpan w:val="6"/>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信用等级*</w:t>
            </w:r>
            <w:r>
              <w:rPr>
                <w:rFonts w:hint="eastAsia" w:ascii="仿宋" w:hAnsi="仿宋" w:eastAsia="仿宋" w:cs="仿宋"/>
                <w:color w:val="000000"/>
                <w:kern w:val="2"/>
                <w:sz w:val="24"/>
                <w:szCs w:val="24"/>
                <w:vertAlign w:val="superscript"/>
              </w:rPr>
              <w:t>2</w:t>
            </w:r>
          </w:p>
        </w:tc>
        <w:tc>
          <w:tcPr>
            <w:tcW w:w="1018" w:type="pct"/>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c>
          <w:tcPr>
            <w:tcW w:w="1298" w:type="pct"/>
            <w:gridSpan w:val="5"/>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资产负债率（%）*</w:t>
            </w:r>
            <w:r>
              <w:rPr>
                <w:rFonts w:hint="eastAsia" w:ascii="仿宋" w:hAnsi="仿宋" w:eastAsia="仿宋" w:cs="仿宋"/>
                <w:color w:val="000000"/>
                <w:kern w:val="2"/>
                <w:sz w:val="24"/>
                <w:szCs w:val="24"/>
                <w:vertAlign w:val="superscript"/>
              </w:rPr>
              <w:t>3</w:t>
            </w:r>
          </w:p>
        </w:tc>
        <w:tc>
          <w:tcPr>
            <w:tcW w:w="1462" w:type="pct"/>
            <w:gridSpan w:val="6"/>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00" w:type="pct"/>
            <w:gridSpan w:val="15"/>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项目名称*</w:t>
            </w:r>
          </w:p>
        </w:tc>
        <w:tc>
          <w:tcPr>
            <w:tcW w:w="1381" w:type="pct"/>
            <w:gridSpan w:val="5"/>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c>
          <w:tcPr>
            <w:tcW w:w="935" w:type="pct"/>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是否变更</w:t>
            </w:r>
            <w:r>
              <w:rPr>
                <w:rFonts w:hint="eastAsia" w:ascii="仿宋" w:hAnsi="仿宋" w:eastAsia="仿宋" w:cs="仿宋"/>
                <w:color w:val="000000"/>
                <w:kern w:val="2"/>
                <w:sz w:val="24"/>
                <w:szCs w:val="24"/>
                <w:vertAlign w:val="superscript"/>
              </w:rPr>
              <w:t>4</w:t>
            </w:r>
          </w:p>
        </w:tc>
        <w:tc>
          <w:tcPr>
            <w:tcW w:w="1462" w:type="pct"/>
            <w:gridSpan w:val="6"/>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项目所在地*</w:t>
            </w:r>
          </w:p>
        </w:tc>
        <w:tc>
          <w:tcPr>
            <w:tcW w:w="1381" w:type="pct"/>
            <w:gridSpan w:val="5"/>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c>
          <w:tcPr>
            <w:tcW w:w="935" w:type="pct"/>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项目级别</w:t>
            </w:r>
            <w:r>
              <w:rPr>
                <w:rFonts w:hint="eastAsia" w:ascii="仿宋" w:hAnsi="仿宋" w:eastAsia="仿宋" w:cs="仿宋"/>
                <w:color w:val="000000"/>
                <w:kern w:val="2"/>
                <w:sz w:val="24"/>
                <w:szCs w:val="24"/>
                <w:vertAlign w:val="superscript"/>
              </w:rPr>
              <w:t>5</w:t>
            </w:r>
          </w:p>
        </w:tc>
        <w:tc>
          <w:tcPr>
            <w:tcW w:w="1462" w:type="pct"/>
            <w:gridSpan w:val="6"/>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54" w:hRule="atLeas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项目描述*</w:t>
            </w:r>
          </w:p>
        </w:tc>
        <w:tc>
          <w:tcPr>
            <w:tcW w:w="3778" w:type="pct"/>
            <w:gridSpan w:val="1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项目所属类别*</w:t>
            </w:r>
            <w:r>
              <w:rPr>
                <w:rFonts w:hint="eastAsia" w:ascii="仿宋" w:hAnsi="仿宋" w:eastAsia="仿宋" w:cs="仿宋"/>
                <w:color w:val="000000"/>
                <w:kern w:val="2"/>
                <w:sz w:val="24"/>
                <w:szCs w:val="24"/>
                <w:vertAlign w:val="superscript"/>
              </w:rPr>
              <w:t>6</w:t>
            </w:r>
          </w:p>
        </w:tc>
        <w:tc>
          <w:tcPr>
            <w:tcW w:w="3778" w:type="pct"/>
            <w:gridSpan w:val="1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p>
            <w:pPr>
              <w:adjustRightInd w:val="0"/>
              <w:snapToGrid w:val="0"/>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开工时间*</w:t>
            </w:r>
          </w:p>
        </w:tc>
        <w:tc>
          <w:tcPr>
            <w:tcW w:w="1091"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c>
          <w:tcPr>
            <w:tcW w:w="1459" w:type="pct"/>
            <w:gridSpan w:val="7"/>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项目期限</w:t>
            </w:r>
          </w:p>
        </w:tc>
        <w:tc>
          <w:tcPr>
            <w:tcW w:w="1228" w:type="pct"/>
            <w:gridSpan w:val="3"/>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项目阶段*</w:t>
            </w:r>
            <w:r>
              <w:rPr>
                <w:rFonts w:hint="eastAsia" w:ascii="仿宋" w:hAnsi="仿宋" w:eastAsia="仿宋" w:cs="仿宋"/>
                <w:color w:val="000000"/>
                <w:kern w:val="2"/>
                <w:sz w:val="24"/>
                <w:szCs w:val="24"/>
                <w:vertAlign w:val="superscript"/>
              </w:rPr>
              <w:t>7</w:t>
            </w:r>
          </w:p>
        </w:tc>
        <w:tc>
          <w:tcPr>
            <w:tcW w:w="1091"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c>
          <w:tcPr>
            <w:tcW w:w="1459" w:type="pct"/>
            <w:gridSpan w:val="7"/>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是否中央预算内投资*</w:t>
            </w:r>
          </w:p>
        </w:tc>
        <w:tc>
          <w:tcPr>
            <w:tcW w:w="1228" w:type="pct"/>
            <w:gridSpan w:val="3"/>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项目建设性质*</w:t>
            </w:r>
            <w:r>
              <w:rPr>
                <w:rFonts w:hint="eastAsia" w:ascii="仿宋" w:hAnsi="仿宋" w:eastAsia="仿宋" w:cs="仿宋"/>
                <w:color w:val="000000"/>
                <w:kern w:val="2"/>
                <w:sz w:val="24"/>
                <w:szCs w:val="24"/>
                <w:vertAlign w:val="superscript"/>
              </w:rPr>
              <w:t>8</w:t>
            </w:r>
          </w:p>
        </w:tc>
        <w:tc>
          <w:tcPr>
            <w:tcW w:w="1091"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c>
          <w:tcPr>
            <w:tcW w:w="1459" w:type="pct"/>
            <w:gridSpan w:val="7"/>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项目收入来源</w:t>
            </w:r>
            <w:r>
              <w:rPr>
                <w:rFonts w:hint="eastAsia" w:ascii="仿宋" w:hAnsi="仿宋" w:eastAsia="仿宋" w:cs="仿宋"/>
                <w:color w:val="000000"/>
                <w:kern w:val="2"/>
                <w:sz w:val="24"/>
                <w:szCs w:val="24"/>
                <w:vertAlign w:val="superscript"/>
              </w:rPr>
              <w:t>9</w:t>
            </w:r>
          </w:p>
        </w:tc>
        <w:tc>
          <w:tcPr>
            <w:tcW w:w="1228" w:type="pct"/>
            <w:gridSpan w:val="3"/>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项目回报率</w:t>
            </w:r>
            <w:r>
              <w:rPr>
                <w:rFonts w:hint="eastAsia" w:ascii="仿宋" w:hAnsi="仿宋" w:eastAsia="仿宋" w:cs="仿宋"/>
                <w:color w:val="000000"/>
                <w:kern w:val="2"/>
                <w:sz w:val="24"/>
                <w:szCs w:val="24"/>
                <w:vertAlign w:val="superscript"/>
              </w:rPr>
              <w:t>10</w:t>
            </w:r>
          </w:p>
        </w:tc>
        <w:tc>
          <w:tcPr>
            <w:tcW w:w="1091"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c>
          <w:tcPr>
            <w:tcW w:w="1459" w:type="pct"/>
            <w:gridSpan w:val="7"/>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项目回收期（年）</w:t>
            </w:r>
            <w:r>
              <w:rPr>
                <w:rFonts w:hint="eastAsia" w:ascii="仿宋" w:hAnsi="仿宋" w:eastAsia="仿宋" w:cs="仿宋"/>
                <w:color w:val="000000"/>
                <w:kern w:val="2"/>
                <w:sz w:val="24"/>
                <w:szCs w:val="24"/>
                <w:vertAlign w:val="superscript"/>
              </w:rPr>
              <w:t>11</w:t>
            </w:r>
          </w:p>
        </w:tc>
        <w:tc>
          <w:tcPr>
            <w:tcW w:w="1228" w:type="pct"/>
            <w:gridSpan w:val="3"/>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215"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项目运作模式</w:t>
            </w:r>
            <w:r>
              <w:rPr>
                <w:rFonts w:hint="eastAsia" w:ascii="仿宋" w:hAnsi="仿宋" w:eastAsia="仿宋" w:cs="仿宋"/>
                <w:color w:val="000000"/>
                <w:kern w:val="2"/>
                <w:sz w:val="24"/>
                <w:szCs w:val="24"/>
                <w:vertAlign w:val="superscript"/>
              </w:rPr>
              <w:t>12</w:t>
            </w:r>
          </w:p>
        </w:tc>
        <w:tc>
          <w:tcPr>
            <w:tcW w:w="3778" w:type="pct"/>
            <w:gridSpan w:val="1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02" w:hRule="atLeast"/>
          <w:jc w:val="center"/>
        </w:trPr>
        <w:tc>
          <w:tcPr>
            <w:tcW w:w="4993" w:type="pct"/>
            <w:gridSpan w:val="14"/>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三、投资情况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167" w:type="pct"/>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项目总投资*</w:t>
            </w:r>
          </w:p>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（万元）</w:t>
            </w:r>
          </w:p>
        </w:tc>
        <w:tc>
          <w:tcPr>
            <w:tcW w:w="1327" w:type="pct"/>
            <w:gridSpan w:val="4"/>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c>
          <w:tcPr>
            <w:tcW w:w="1318" w:type="pct"/>
            <w:gridSpan w:val="8"/>
            <w:vAlign w:val="center"/>
          </w:tcPr>
          <w:p>
            <w:pPr>
              <w:adjustRightInd/>
              <w:snapToGrid/>
              <w:spacing w:line="240" w:lineRule="auto"/>
              <w:ind w:firstLine="0" w:firstLineChars="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资本金总额*</w:t>
            </w:r>
          </w:p>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（万元）</w:t>
            </w:r>
          </w:p>
        </w:tc>
        <w:tc>
          <w:tcPr>
            <w:tcW w:w="1181" w:type="pct"/>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167" w:type="pct"/>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资金来源*</w:t>
            </w:r>
            <w:r>
              <w:rPr>
                <w:rFonts w:hint="eastAsia" w:ascii="仿宋" w:hAnsi="仿宋" w:eastAsia="仿宋" w:cs="仿宋"/>
                <w:color w:val="000000"/>
                <w:kern w:val="2"/>
                <w:sz w:val="24"/>
                <w:szCs w:val="24"/>
                <w:vertAlign w:val="superscript"/>
              </w:rPr>
              <w:t>13</w:t>
            </w:r>
          </w:p>
        </w:tc>
        <w:tc>
          <w:tcPr>
            <w:tcW w:w="3826" w:type="pct"/>
            <w:gridSpan w:val="13"/>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政府资金（ ）万元，自筹资金（ ）万元，其他（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48" w:hRule="atLeast"/>
          <w:jc w:val="center"/>
        </w:trPr>
        <w:tc>
          <w:tcPr>
            <w:tcW w:w="1167" w:type="pct"/>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已到位资金*</w:t>
            </w:r>
          </w:p>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（万元）</w:t>
            </w:r>
          </w:p>
        </w:tc>
        <w:tc>
          <w:tcPr>
            <w:tcW w:w="1390" w:type="pct"/>
            <w:gridSpan w:val="5"/>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c>
          <w:tcPr>
            <w:tcW w:w="1217" w:type="pct"/>
            <w:gridSpan w:val="6"/>
            <w:vAlign w:val="center"/>
          </w:tcPr>
          <w:p>
            <w:pPr>
              <w:adjustRightInd/>
              <w:snapToGrid/>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已投资额*（万元）</w:t>
            </w:r>
          </w:p>
        </w:tc>
        <w:tc>
          <w:tcPr>
            <w:tcW w:w="1219" w:type="pct"/>
            <w:gridSpan w:val="2"/>
            <w:vAlign w:val="center"/>
          </w:tcPr>
          <w:p>
            <w:pPr>
              <w:adjustRightInd/>
              <w:snapToGrid/>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167" w:type="pct"/>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预计年内投资额（万元）</w:t>
            </w:r>
          </w:p>
        </w:tc>
        <w:tc>
          <w:tcPr>
            <w:tcW w:w="1390"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c>
          <w:tcPr>
            <w:tcW w:w="1217" w:type="pct"/>
            <w:gridSpan w:val="6"/>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资金用途</w:t>
            </w:r>
            <w:r>
              <w:rPr>
                <w:rFonts w:hint="eastAsia" w:ascii="仿宋" w:hAnsi="仿宋" w:eastAsia="仿宋" w:cs="仿宋"/>
                <w:color w:val="000000"/>
                <w:kern w:val="2"/>
                <w:sz w:val="24"/>
                <w:szCs w:val="24"/>
                <w:vertAlign w:val="superscript"/>
              </w:rPr>
              <w:t>14</w:t>
            </w:r>
          </w:p>
        </w:tc>
        <w:tc>
          <w:tcPr>
            <w:tcW w:w="1219"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jc w:val="center"/>
        </w:trPr>
        <w:tc>
          <w:tcPr>
            <w:tcW w:w="1167" w:type="pct"/>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项目预计总收益（万元）</w:t>
            </w:r>
          </w:p>
        </w:tc>
        <w:tc>
          <w:tcPr>
            <w:tcW w:w="1390"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c>
          <w:tcPr>
            <w:tcW w:w="1217" w:type="pct"/>
            <w:gridSpan w:val="6"/>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预计项目年度收益*（万元）</w:t>
            </w:r>
          </w:p>
        </w:tc>
        <w:tc>
          <w:tcPr>
            <w:tcW w:w="1219"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86" w:hRule="atLeast"/>
          <w:jc w:val="center"/>
        </w:trPr>
        <w:tc>
          <w:tcPr>
            <w:tcW w:w="4993" w:type="pct"/>
            <w:gridSpan w:val="14"/>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四、项目经营管理情况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565"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立项文件</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办理情况*</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已完成核准（）</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已完成备案（）</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正在办理（）</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不涉及（）</w:t>
            </w:r>
          </w:p>
        </w:tc>
        <w:tc>
          <w:tcPr>
            <w:tcW w:w="1106"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土地使用</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相关证明*</w:t>
            </w:r>
          </w:p>
        </w:tc>
        <w:tc>
          <w:tcPr>
            <w:tcW w:w="1393"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正在办理（）</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已取得用地预审（）</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已取得不动产权证（）</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133"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环评批复*</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已取得（）</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正在办理（）</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不涉及（）</w:t>
            </w:r>
          </w:p>
        </w:tc>
        <w:tc>
          <w:tcPr>
            <w:tcW w:w="1106"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节能审查</w:t>
            </w:r>
          </w:p>
        </w:tc>
        <w:tc>
          <w:tcPr>
            <w:tcW w:w="1393"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已取得（）</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正在办理（）</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133"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初步设计批复*</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已取得（）</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正在办理（）</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不涉及（）</w:t>
            </w:r>
          </w:p>
        </w:tc>
        <w:tc>
          <w:tcPr>
            <w:tcW w:w="1106"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开展清洁生产</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审核情况</w:t>
            </w:r>
          </w:p>
        </w:tc>
        <w:tc>
          <w:tcPr>
            <w:tcW w:w="1393"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描述近两年情况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825"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财务状况</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描述近1年年资产盈利或负债情况</w:t>
            </w:r>
          </w:p>
        </w:tc>
        <w:tc>
          <w:tcPr>
            <w:tcW w:w="1106"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税费缴纳情况</w:t>
            </w:r>
          </w:p>
        </w:tc>
        <w:tc>
          <w:tcPr>
            <w:tcW w:w="1393"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描述近1年税费缴纳情况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825"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职业健康安全</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体系认证</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已认证（）</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未认证（）</w:t>
            </w:r>
          </w:p>
        </w:tc>
        <w:tc>
          <w:tcPr>
            <w:tcW w:w="1106"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近2年行政奖励、处罚情况</w:t>
            </w:r>
          </w:p>
        </w:tc>
        <w:tc>
          <w:tcPr>
            <w:tcW w:w="1393"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描述近两年情况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4993" w:type="pct"/>
            <w:gridSpan w:val="14"/>
            <w:vAlign w:val="center"/>
          </w:tcPr>
          <w:p>
            <w:pPr>
              <w:adjustRightInd/>
              <w:snapToGrid/>
              <w:spacing w:line="240" w:lineRule="auto"/>
              <w:ind w:firstLine="0" w:firstLineChars="0"/>
              <w:jc w:val="center"/>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五、项目融资情况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意向融资方式</w:t>
            </w:r>
            <w:r>
              <w:rPr>
                <w:rFonts w:hint="eastAsia" w:ascii="仿宋" w:hAnsi="仿宋" w:eastAsia="仿宋" w:cs="仿宋"/>
                <w:color w:val="000000"/>
                <w:kern w:val="2"/>
                <w:sz w:val="24"/>
                <w:szCs w:val="24"/>
                <w:vertAlign w:val="superscript"/>
              </w:rPr>
              <w:t>15</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股权（）发债（）</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贷款（）其他（）</w:t>
            </w:r>
          </w:p>
        </w:tc>
        <w:tc>
          <w:tcPr>
            <w:tcW w:w="1248"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贷款总需求*</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（万元）</w:t>
            </w:r>
          </w:p>
        </w:tc>
        <w:tc>
          <w:tcPr>
            <w:tcW w:w="1251"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已获贷款额*</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（万元）</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c>
          <w:tcPr>
            <w:tcW w:w="1248" w:type="pct"/>
            <w:gridSpan w:val="5"/>
            <w:vAlign w:val="center"/>
          </w:tcPr>
          <w:p>
            <w:pPr>
              <w:adjustRightInd w:val="0"/>
              <w:snapToGrid w:val="0"/>
              <w:spacing w:line="240" w:lineRule="auto"/>
              <w:ind w:firstLine="0" w:firstLineChars="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年内贷款需求*</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（万元）</w:t>
            </w:r>
          </w:p>
        </w:tc>
        <w:tc>
          <w:tcPr>
            <w:tcW w:w="1251" w:type="pct"/>
            <w:gridSpan w:val="4"/>
            <w:vAlign w:val="center"/>
          </w:tcPr>
          <w:p>
            <w:pPr>
              <w:adjustRightInd w:val="0"/>
              <w:snapToGrid w:val="0"/>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意向贷款期限*</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（）个月</w:t>
            </w:r>
          </w:p>
        </w:tc>
        <w:tc>
          <w:tcPr>
            <w:tcW w:w="1248"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担保方式*</w:t>
            </w:r>
            <w:r>
              <w:rPr>
                <w:rFonts w:hint="eastAsia" w:ascii="仿宋" w:hAnsi="仿宋" w:eastAsia="仿宋" w:cs="仿宋"/>
                <w:color w:val="000000"/>
                <w:kern w:val="2"/>
                <w:sz w:val="24"/>
                <w:szCs w:val="24"/>
                <w:vertAlign w:val="superscript"/>
              </w:rPr>
              <w:t>16</w:t>
            </w:r>
          </w:p>
        </w:tc>
        <w:tc>
          <w:tcPr>
            <w:tcW w:w="1251"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1215" w:type="pct"/>
            <w:gridSpan w:val="2"/>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利率定价意见*</w:t>
            </w:r>
          </w:p>
        </w:tc>
        <w:tc>
          <w:tcPr>
            <w:tcW w:w="1279" w:type="pct"/>
            <w:gridSpan w:val="3"/>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c>
          <w:tcPr>
            <w:tcW w:w="1248" w:type="pct"/>
            <w:gridSpan w:val="5"/>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对接银行</w:t>
            </w:r>
          </w:p>
        </w:tc>
        <w:tc>
          <w:tcPr>
            <w:tcW w:w="1251" w:type="pct"/>
            <w:gridSpan w:val="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4993" w:type="pct"/>
            <w:gridSpan w:val="14"/>
            <w:vAlign w:val="center"/>
          </w:tcPr>
          <w:p>
            <w:pPr>
              <w:adjustRightInd w:val="0"/>
              <w:snapToGrid w:val="0"/>
              <w:spacing w:line="240" w:lineRule="auto"/>
              <w:ind w:firstLine="0" w:firstLineChars="0"/>
              <w:jc w:val="center"/>
              <w:rPr>
                <w:rFonts w:ascii="仿宋" w:hAnsi="仿宋" w:eastAsia="仿宋" w:cs="仿宋"/>
                <w:b/>
                <w:bCs/>
                <w:color w:val="000000"/>
                <w:kern w:val="2"/>
                <w:sz w:val="24"/>
                <w:szCs w:val="24"/>
              </w:rPr>
            </w:pPr>
            <w:r>
              <w:rPr>
                <w:rFonts w:hint="eastAsia" w:ascii="仿宋" w:hAnsi="仿宋" w:eastAsia="仿宋" w:cs="仿宋"/>
                <w:b/>
                <w:bCs/>
                <w:color w:val="000000"/>
                <w:kern w:val="2"/>
                <w:sz w:val="24"/>
                <w:szCs w:val="24"/>
              </w:rPr>
              <w:t>六、项目社会效益（具有何种社会效益，文字描述）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2794" w:hRule="atLeast"/>
          <w:jc w:val="center"/>
        </w:trPr>
        <w:tc>
          <w:tcPr>
            <w:tcW w:w="4993" w:type="pct"/>
            <w:gridSpan w:val="14"/>
            <w:vAlign w:val="center"/>
          </w:tcPr>
          <w:p>
            <w:pPr>
              <w:adjustRightInd w:val="0"/>
              <w:snapToGrid w:val="0"/>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4993" w:type="pct"/>
            <w:gridSpan w:val="14"/>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b/>
                <w:bCs/>
                <w:color w:val="000000"/>
                <w:kern w:val="2"/>
                <w:sz w:val="24"/>
                <w:szCs w:val="24"/>
              </w:rPr>
              <w:t>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22" w:hRule="atLeast"/>
          <w:jc w:val="center"/>
        </w:trPr>
        <w:tc>
          <w:tcPr>
            <w:tcW w:w="1167" w:type="pct"/>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政策诉求</w:t>
            </w:r>
          </w:p>
        </w:tc>
        <w:tc>
          <w:tcPr>
            <w:tcW w:w="3826" w:type="pct"/>
            <w:gridSpan w:val="13"/>
            <w:vAlign w:val="center"/>
          </w:tcPr>
          <w:p>
            <w:pPr>
              <w:adjustRightInd w:val="0"/>
              <w:snapToGrid w:val="0"/>
              <w:spacing w:line="240" w:lineRule="auto"/>
              <w:ind w:firstLine="0" w:firstLineChars="0"/>
              <w:jc w:val="center"/>
              <w:rPr>
                <w:rFonts w:ascii="仿宋" w:hAnsi="仿宋" w:eastAsia="仿宋" w:cs="仿宋"/>
                <w:b/>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80" w:hRule="atLeast"/>
          <w:jc w:val="center"/>
        </w:trPr>
        <w:tc>
          <w:tcPr>
            <w:tcW w:w="1167" w:type="pct"/>
            <w:vAlign w:val="center"/>
          </w:tcPr>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联系人</w:t>
            </w:r>
          </w:p>
          <w:p>
            <w:pPr>
              <w:adjustRightInd w:val="0"/>
              <w:snapToGrid w:val="0"/>
              <w:spacing w:line="240" w:lineRule="auto"/>
              <w:ind w:firstLine="0" w:firstLineChars="0"/>
              <w:jc w:val="center"/>
              <w:rPr>
                <w:rFonts w:ascii="仿宋" w:hAnsi="仿宋" w:eastAsia="仿宋" w:cs="仿宋"/>
                <w:color w:val="000000"/>
                <w:kern w:val="2"/>
                <w:sz w:val="24"/>
                <w:szCs w:val="24"/>
              </w:rPr>
            </w:pPr>
            <w:r>
              <w:rPr>
                <w:rFonts w:hint="eastAsia" w:ascii="仿宋" w:hAnsi="仿宋" w:eastAsia="仿宋" w:cs="仿宋"/>
                <w:color w:val="000000"/>
                <w:kern w:val="2"/>
                <w:sz w:val="24"/>
                <w:szCs w:val="24"/>
              </w:rPr>
              <w:t>及联系方式*</w:t>
            </w:r>
          </w:p>
        </w:tc>
        <w:tc>
          <w:tcPr>
            <w:tcW w:w="3826" w:type="pct"/>
            <w:gridSpan w:val="13"/>
            <w:vAlign w:val="center"/>
          </w:tcPr>
          <w:p>
            <w:pPr>
              <w:adjustRightInd w:val="0"/>
              <w:snapToGrid w:val="0"/>
              <w:spacing w:line="240" w:lineRule="auto"/>
              <w:ind w:firstLine="0" w:firstLineChars="0"/>
              <w:jc w:val="center"/>
              <w:rPr>
                <w:rFonts w:ascii="仿宋" w:hAnsi="仿宋" w:eastAsia="仿宋" w:cs="仿宋"/>
                <w:b/>
                <w:bCs/>
                <w:color w:val="000000"/>
                <w:kern w:val="2"/>
                <w:sz w:val="24"/>
                <w:szCs w:val="24"/>
              </w:rPr>
            </w:pPr>
          </w:p>
        </w:tc>
      </w:tr>
    </w:tbl>
    <w:p>
      <w:pPr>
        <w:adjustRightInd/>
        <w:snapToGrid/>
        <w:spacing w:line="240" w:lineRule="auto"/>
        <w:ind w:firstLine="0" w:firstLineChars="0"/>
        <w:jc w:val="both"/>
        <w:rPr>
          <w:rFonts w:ascii="仿宋_GB2312" w:hAnsi="方正小标宋简体" w:eastAsia="仿宋_GB2312"/>
          <w:b/>
          <w:bCs/>
          <w:color w:val="000000"/>
          <w:kern w:val="2"/>
          <w:sz w:val="32"/>
          <w:szCs w:val="32"/>
        </w:rPr>
      </w:pPr>
    </w:p>
    <w:p>
      <w:pPr>
        <w:adjustRightInd/>
        <w:snapToGrid/>
        <w:spacing w:line="240" w:lineRule="auto"/>
        <w:ind w:firstLine="0" w:firstLineChars="0"/>
        <w:jc w:val="both"/>
        <w:rPr>
          <w:rFonts w:ascii="仿宋_GB2312" w:hAnsi="方正小标宋简体" w:eastAsia="仿宋_GB2312"/>
          <w:b/>
          <w:bCs/>
          <w:color w:val="000000"/>
          <w:kern w:val="2"/>
          <w:sz w:val="24"/>
          <w:szCs w:val="24"/>
        </w:rPr>
      </w:pPr>
      <w:r>
        <w:rPr>
          <w:rFonts w:hint="eastAsia" w:ascii="仿宋_GB2312" w:hAnsi="方正小标宋简体" w:eastAsia="仿宋_GB2312"/>
          <w:b/>
          <w:bCs/>
          <w:color w:val="000000"/>
          <w:kern w:val="2"/>
          <w:sz w:val="24"/>
          <w:szCs w:val="24"/>
        </w:rPr>
        <w:t>一．填表说明:</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1.企业类型包括:央企及控股公司、国有控股公司、非国有控股公司;</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2.信用等级为经资信评估机构评估并出具证书的企业信用等级。共包含AAA、AA、A、BBB、BB、B、CCC、CC、C、D共10个等级;</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3.指上一年度期末企业资产负债率。企业上一年度期末资产负债率=上一年度期末总负债:上一年度期末总资产;</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4.如项目名称有变更，请写明曾用项目名称;</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5.项目级别包括:国家级、省级、地市级、县级；</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6.根据附件1中《甘肃省绿色矿山建设投融资项目目录清单》判断项目所属类别，分别列出一、二、三级类别；</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7.项目阶段包括:未开工、已开工、已竣工、已投产；</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8.项目建设性质包括:新建、改扩建、技改、已完工;</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9.项目收入来源包括:经营性收入、使用者付费、使用者付费+政府补贴、政府购买，如为其他，请在表格中写明；</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10.指项目全生命周期投资回报率。项目全生命周期投资回报率=全生命周期利润总额-全生命周期内投资总额x100%;</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11.指项目投资回收期，拟建项目所获收益的累计总额抵偿项目固定资产投资总额(含建设期借款利息)所需要的时间；</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12.项目运作模式包括:PPP、非PPP，如为其他，请在表格中写明；</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13.“资金来源”中“其他资金”指通过融资方式获得的项目建设资金金额。其他资金的融资方式包括通过申请贷款、发行债券等；</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14.资金用途包括:建设、债务置换、运营、收购，如为其他，请在表格中写明</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15.“意向融资方式”如为其他，请在括号内写明;</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16.担保方式包括:保证、抵押、质押、信用;</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17.标星(*)为必填。</w:t>
      </w:r>
    </w:p>
    <w:p>
      <w:pPr>
        <w:adjustRightInd/>
        <w:snapToGrid/>
        <w:spacing w:line="240" w:lineRule="auto"/>
        <w:ind w:firstLine="0" w:firstLineChars="0"/>
        <w:jc w:val="both"/>
        <w:rPr>
          <w:rFonts w:ascii="仿宋_GB2312" w:hAnsi="方正小标宋简体" w:eastAsia="仿宋_GB2312"/>
          <w:b/>
          <w:bCs/>
          <w:color w:val="000000"/>
          <w:kern w:val="2"/>
          <w:sz w:val="24"/>
          <w:szCs w:val="24"/>
        </w:rPr>
      </w:pPr>
    </w:p>
    <w:p>
      <w:pPr>
        <w:adjustRightInd/>
        <w:snapToGrid/>
        <w:spacing w:line="240" w:lineRule="auto"/>
        <w:ind w:firstLine="0" w:firstLineChars="0"/>
        <w:jc w:val="both"/>
        <w:rPr>
          <w:rFonts w:ascii="仿宋_GB2312" w:hAnsi="方正小标宋简体" w:eastAsia="仿宋_GB2312"/>
          <w:b/>
          <w:bCs/>
          <w:color w:val="000000"/>
          <w:kern w:val="2"/>
          <w:sz w:val="24"/>
          <w:szCs w:val="24"/>
        </w:rPr>
      </w:pPr>
      <w:r>
        <w:rPr>
          <w:rFonts w:hint="eastAsia" w:ascii="仿宋_GB2312" w:hAnsi="方正小标宋简体" w:eastAsia="仿宋_GB2312"/>
          <w:b/>
          <w:bCs/>
          <w:color w:val="000000"/>
          <w:kern w:val="2"/>
          <w:sz w:val="24"/>
          <w:szCs w:val="24"/>
        </w:rPr>
        <w:t>二．随表提供资料清单:</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1.项目合规性文件，包括立项批复(审批、备案、核查)、土地批复、环评批复节能审查意见、初步设计批复、清洁生产审核(评估、验收)等文件，未取得文件的应提供相应报告或方案。</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2.近1年资产负债表、利润表和现金流量表(或审计报告)。</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3.职业健康安全体系认证文件。</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4.近2年行政奖励、处罚文件。</w:t>
      </w:r>
    </w:p>
    <w:p>
      <w:pPr>
        <w:adjustRightInd/>
        <w:snapToGrid/>
        <w:spacing w:line="240" w:lineRule="auto"/>
        <w:ind w:firstLine="480" w:firstLineChars="200"/>
        <w:jc w:val="both"/>
        <w:rPr>
          <w:rFonts w:ascii="仿宋_GB2312" w:hAnsi="方正小标宋简体" w:eastAsia="仿宋_GB2312"/>
          <w:color w:val="000000"/>
          <w:kern w:val="2"/>
          <w:sz w:val="24"/>
          <w:szCs w:val="24"/>
        </w:rPr>
      </w:pPr>
      <w:r>
        <w:rPr>
          <w:rFonts w:hint="eastAsia" w:ascii="仿宋_GB2312" w:hAnsi="方正小标宋简体" w:eastAsia="仿宋_GB2312"/>
          <w:color w:val="000000"/>
          <w:kern w:val="2"/>
          <w:sz w:val="24"/>
          <w:szCs w:val="24"/>
        </w:rPr>
        <w:t>5.其他必要的文件资料。</w:t>
      </w:r>
    </w:p>
    <w:p>
      <w:pPr>
        <w:adjustRightInd/>
        <w:snapToGrid/>
        <w:spacing w:line="240" w:lineRule="auto"/>
        <w:ind w:firstLine="0" w:firstLineChars="0"/>
        <w:jc w:val="both"/>
        <w:rPr>
          <w:b/>
          <w:bCs/>
          <w:sz w:val="32"/>
          <w:szCs w:val="32"/>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800" w:bottom="7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oto Sans CJK JP">
    <w:panose1 w:val="020B0600000000000000"/>
    <w:charset w:val="86"/>
    <w:family w:val="auto"/>
    <w:pitch w:val="default"/>
    <w:sig w:usb0="30000083" w:usb1="2BDF3C10" w:usb2="00000016" w:usb3="00000000" w:csb0="602E0107"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79446" name="文本框 319794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9</w:t>
                          </w:r>
                          <w:r>
                            <w:rPr>
                              <w:rFonts w:hint="eastAsia"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IvF9twjAgAANQQAAA4AAAAAAAAAAQAgAAAANQEAAGRycy9lMm9Eb2Mu&#10;eG1sUEsFBgAAAAAGAAYAWQEAAMo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9</w:t>
                    </w:r>
                    <w:r>
                      <w:rPr>
                        <w:rFonts w:hint="eastAsia"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31</w:t>
                          </w:r>
                          <w:r>
                            <w:rPr>
                              <w:rFonts w:hint="eastAsia"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 xml:space="preserve">— </w:t>
                    </w: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31</w:t>
                    </w:r>
                    <w:r>
                      <w:rPr>
                        <w:rFonts w:hint="eastAsia" w:ascii="Calibri" w:hAnsi="Calibri" w:eastAsia="宋体" w:cs="Times New Roman"/>
                        <w:kern w:val="2"/>
                        <w:sz w:val="18"/>
                        <w:szCs w:val="18"/>
                        <w:lang w:val="en-US" w:eastAsia="zh-CN" w:bidi="ar-SA"/>
                      </w:rPr>
                      <w:fldChar w:fldCharType="end"/>
                    </w:r>
                    <w:r>
                      <w:rPr>
                        <w:rFonts w:hint="eastAsia" w:ascii="Calibri" w:hAnsi="Calibri" w:eastAsia="宋体" w:cs="Times New Roman"/>
                        <w:kern w:val="2"/>
                        <w:sz w:val="18"/>
                        <w:szCs w:val="1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A7FC8"/>
    <w:multiLevelType w:val="singleLevel"/>
    <w:tmpl w:val="B9EA7F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noPunctuationKerning w:val="true"/>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38"/>
    <w:rsid w:val="00001360"/>
    <w:rsid w:val="00050FD2"/>
    <w:rsid w:val="000608B1"/>
    <w:rsid w:val="000618A8"/>
    <w:rsid w:val="000943D0"/>
    <w:rsid w:val="000A6735"/>
    <w:rsid w:val="000C09B5"/>
    <w:rsid w:val="0012191D"/>
    <w:rsid w:val="001779CE"/>
    <w:rsid w:val="00180A3A"/>
    <w:rsid w:val="00211B12"/>
    <w:rsid w:val="00214FA4"/>
    <w:rsid w:val="0025727C"/>
    <w:rsid w:val="0026727E"/>
    <w:rsid w:val="00296194"/>
    <w:rsid w:val="002B0EA7"/>
    <w:rsid w:val="003F0F69"/>
    <w:rsid w:val="00465078"/>
    <w:rsid w:val="00470B06"/>
    <w:rsid w:val="0050610E"/>
    <w:rsid w:val="00507B7E"/>
    <w:rsid w:val="00522473"/>
    <w:rsid w:val="005303FA"/>
    <w:rsid w:val="00530CBA"/>
    <w:rsid w:val="00623BCB"/>
    <w:rsid w:val="0062503C"/>
    <w:rsid w:val="006940FD"/>
    <w:rsid w:val="006B408E"/>
    <w:rsid w:val="006C14AB"/>
    <w:rsid w:val="00707D12"/>
    <w:rsid w:val="00713B1C"/>
    <w:rsid w:val="0074167B"/>
    <w:rsid w:val="00765381"/>
    <w:rsid w:val="00766BDE"/>
    <w:rsid w:val="007E3579"/>
    <w:rsid w:val="007E7EFD"/>
    <w:rsid w:val="00802393"/>
    <w:rsid w:val="0087560F"/>
    <w:rsid w:val="008E3D07"/>
    <w:rsid w:val="008E4845"/>
    <w:rsid w:val="00954723"/>
    <w:rsid w:val="00971DB7"/>
    <w:rsid w:val="00A65EBF"/>
    <w:rsid w:val="00B04654"/>
    <w:rsid w:val="00B07141"/>
    <w:rsid w:val="00B50DAB"/>
    <w:rsid w:val="00B73EE7"/>
    <w:rsid w:val="00B846F6"/>
    <w:rsid w:val="00BA788B"/>
    <w:rsid w:val="00BB32E9"/>
    <w:rsid w:val="00BB3D33"/>
    <w:rsid w:val="00BF580F"/>
    <w:rsid w:val="00C43843"/>
    <w:rsid w:val="00C824AC"/>
    <w:rsid w:val="00D10AD3"/>
    <w:rsid w:val="00D36C77"/>
    <w:rsid w:val="00D5289A"/>
    <w:rsid w:val="00D96315"/>
    <w:rsid w:val="00D97A34"/>
    <w:rsid w:val="00DF549C"/>
    <w:rsid w:val="00E21AA0"/>
    <w:rsid w:val="00E56DE9"/>
    <w:rsid w:val="00EF1EB6"/>
    <w:rsid w:val="00F30EF4"/>
    <w:rsid w:val="00F631FB"/>
    <w:rsid w:val="00FA24FF"/>
    <w:rsid w:val="00FF5538"/>
    <w:rsid w:val="1A1D52ED"/>
    <w:rsid w:val="1DBC1284"/>
    <w:rsid w:val="2F6B55C6"/>
    <w:rsid w:val="3F3F8D07"/>
    <w:rsid w:val="43FBC71F"/>
    <w:rsid w:val="5A77F2AC"/>
    <w:rsid w:val="5F3C90EF"/>
    <w:rsid w:val="5FB423CC"/>
    <w:rsid w:val="5FBF1D60"/>
    <w:rsid w:val="5FF7D1B0"/>
    <w:rsid w:val="67A797B8"/>
    <w:rsid w:val="6DFFD5B8"/>
    <w:rsid w:val="72AEA142"/>
    <w:rsid w:val="72FFE61D"/>
    <w:rsid w:val="7D7B1B52"/>
    <w:rsid w:val="7FDFCF8A"/>
    <w:rsid w:val="7FFD5DF9"/>
    <w:rsid w:val="7FFE13BA"/>
    <w:rsid w:val="9BDDE9B5"/>
    <w:rsid w:val="9FEEE5D9"/>
    <w:rsid w:val="B5AF0210"/>
    <w:rsid w:val="BBFD852C"/>
    <w:rsid w:val="BDBFE679"/>
    <w:rsid w:val="BDF9FCA4"/>
    <w:rsid w:val="D6FC80F8"/>
    <w:rsid w:val="DB77AB03"/>
    <w:rsid w:val="DEDF7426"/>
    <w:rsid w:val="DFD34877"/>
    <w:rsid w:val="F2DFECBB"/>
    <w:rsid w:val="FDBEFC2F"/>
    <w:rsid w:val="FE3CE1F1"/>
    <w:rsid w:val="FF5F9645"/>
    <w:rsid w:val="FFEB9B8B"/>
    <w:rsid w:val="FFFE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20" w:firstLineChars="200"/>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ind w:firstLine="0" w:firstLineChars="0"/>
      <w:jc w:val="center"/>
      <w:outlineLvl w:val="0"/>
    </w:pPr>
    <w:rPr>
      <w:b/>
      <w:bCs/>
      <w:kern w:val="44"/>
      <w:sz w:val="32"/>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pacing w:line="240" w:lineRule="auto"/>
    </w:pPr>
    <w:rPr>
      <w:sz w:val="18"/>
      <w:szCs w:val="18"/>
    </w:rPr>
  </w:style>
  <w:style w:type="paragraph" w:styleId="4">
    <w:name w:val="header"/>
    <w:basedOn w:val="1"/>
    <w:link w:val="9"/>
    <w:qFormat/>
    <w:uiPriority w:val="0"/>
    <w:pPr>
      <w:tabs>
        <w:tab w:val="center" w:pos="4153"/>
        <w:tab w:val="right" w:pos="8306"/>
      </w:tabs>
      <w:spacing w:line="240" w:lineRule="auto"/>
      <w:jc w:val="center"/>
    </w:pPr>
    <w:rPr>
      <w:sz w:val="18"/>
      <w:szCs w:val="18"/>
    </w:rPr>
  </w:style>
  <w:style w:type="paragraph" w:styleId="5">
    <w:name w:val="Normal (Web)"/>
    <w:basedOn w:val="1"/>
    <w:qFormat/>
    <w:uiPriority w:val="0"/>
    <w:pPr>
      <w:spacing w:beforeAutospacing="1" w:afterAutospacing="1"/>
    </w:pPr>
    <w:rPr>
      <w:sz w:val="24"/>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4"/>
    <w:qFormat/>
    <w:uiPriority w:val="0"/>
    <w:rPr>
      <w:sz w:val="18"/>
      <w:szCs w:val="18"/>
    </w:rPr>
  </w:style>
  <w:style w:type="character" w:customStyle="1" w:styleId="10">
    <w:name w:val="页脚 字符"/>
    <w:basedOn w:val="8"/>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Words>
  <Characters>337</Characters>
  <Lines>2</Lines>
  <Paragraphs>1</Paragraphs>
  <TotalTime>11</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2024-07-08T15:21:00Z</dcterms:created>
  <dc:creator>Apache POI</dc:creator>
  <cp:lastModifiedBy>user</cp:lastModifiedBy>
  <cp:lastPrinted>2024-12-09T19:49:00Z</cp:lastPrinted>
  <dcterms:modified xsi:type="dcterms:W3CDTF">2024-12-10T09:42:56Z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