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640" w:lineRule="exact"/>
        <w:ind w:left="0" w:leftChars="0" w:firstLine="0" w:firstLineChars="0"/>
        <w:jc w:val="left"/>
        <w:textAlignment w:val="auto"/>
        <w:rPr>
          <w:rFonts w:hint="eastAsia" w:ascii="黑体" w:hAnsi="黑体" w:eastAsia="黑体" w:cs="黑体"/>
          <w:color w:val="auto"/>
          <w:kern w:val="2"/>
          <w:sz w:val="32"/>
          <w:szCs w:val="32"/>
          <w:lang w:val="en-US" w:eastAsia="zh-CN" w:bidi="ar-SA"/>
        </w:rPr>
      </w:pPr>
      <w:bookmarkStart w:id="0" w:name="_GoBack"/>
      <w:bookmarkEnd w:id="0"/>
      <w:r>
        <w:rPr>
          <w:rFonts w:hint="eastAsia" w:ascii="黑体" w:hAnsi="黑体" w:eastAsia="黑体" w:cs="黑体"/>
          <w:color w:val="auto"/>
          <w:kern w:val="2"/>
          <w:sz w:val="32"/>
          <w:szCs w:val="32"/>
          <w:lang w:val="en-US" w:eastAsia="zh-CN" w:bidi="ar-SA"/>
        </w:rPr>
        <w:t>附件1</w:t>
      </w:r>
    </w:p>
    <w:p>
      <w:pPr>
        <w:pStyle w:val="2"/>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color w:val="auto"/>
          <w:kern w:val="2"/>
          <w:sz w:val="36"/>
          <w:szCs w:val="36"/>
          <w:lang w:val="en-US" w:eastAsia="zh-CN" w:bidi="ar-SA"/>
        </w:rPr>
      </w:pPr>
      <w:r>
        <w:rPr>
          <w:rFonts w:hint="eastAsia" w:ascii="方正小标宋简体" w:hAnsi="方正小标宋简体" w:eastAsia="方正小标宋简体" w:cs="方正小标宋简体"/>
          <w:color w:val="auto"/>
          <w:kern w:val="2"/>
          <w:sz w:val="36"/>
          <w:szCs w:val="36"/>
          <w:lang w:val="en-US" w:eastAsia="zh-CN" w:bidi="ar-SA"/>
        </w:rPr>
        <w:t>甘肃省</w:t>
      </w:r>
      <w:r>
        <w:rPr>
          <w:rFonts w:hint="default" w:ascii="方正小标宋简体" w:hAnsi="方正小标宋简体" w:eastAsia="方正小标宋简体" w:cs="方正小标宋简体"/>
          <w:color w:val="auto"/>
          <w:kern w:val="2"/>
          <w:sz w:val="36"/>
          <w:szCs w:val="36"/>
          <w:lang w:val="en" w:eastAsia="zh-CN" w:bidi="ar-SA"/>
        </w:rPr>
        <w:t>自然资源行业</w:t>
      </w:r>
      <w:r>
        <w:rPr>
          <w:rFonts w:hint="eastAsia" w:ascii="方正小标宋简体" w:hAnsi="方正小标宋简体" w:eastAsia="方正小标宋简体" w:cs="方正小标宋简体"/>
          <w:color w:val="auto"/>
          <w:kern w:val="2"/>
          <w:sz w:val="36"/>
          <w:szCs w:val="36"/>
          <w:lang w:val="en" w:eastAsia="zh-CN" w:bidi="ar-SA"/>
        </w:rPr>
        <w:t>资质</w:t>
      </w:r>
      <w:r>
        <w:rPr>
          <w:rFonts w:hint="default" w:ascii="方正小标宋简体" w:hAnsi="方正小标宋简体" w:eastAsia="方正小标宋简体" w:cs="方正小标宋简体"/>
          <w:color w:val="auto"/>
          <w:kern w:val="2"/>
          <w:sz w:val="36"/>
          <w:szCs w:val="36"/>
          <w:lang w:val="en" w:eastAsia="zh-CN" w:bidi="ar-SA"/>
        </w:rPr>
        <w:t>审查标准清单</w:t>
      </w:r>
    </w:p>
    <w:tbl>
      <w:tblPr>
        <w:tblStyle w:val="4"/>
        <w:tblpPr w:leftFromText="180" w:rightFromText="180" w:vertAnchor="page" w:horzAnchor="page" w:tblpX="1522" w:tblpY="3045"/>
        <w:tblOverlap w:val="never"/>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550"/>
        <w:gridCol w:w="5204"/>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40" w:type="dxa"/>
            <w:noWrap w:val="0"/>
            <w:vAlign w:val="center"/>
          </w:tcPr>
          <w:p>
            <w:pPr>
              <w:bidi w:val="0"/>
              <w:jc w:val="center"/>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类别</w:t>
            </w:r>
          </w:p>
        </w:tc>
        <w:tc>
          <w:tcPr>
            <w:tcW w:w="1550" w:type="dxa"/>
            <w:noWrap w:val="0"/>
            <w:vAlign w:val="center"/>
          </w:tcPr>
          <w:p>
            <w:pPr>
              <w:bidi w:val="0"/>
              <w:jc w:val="cente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审查内容</w:t>
            </w:r>
          </w:p>
        </w:tc>
        <w:tc>
          <w:tcPr>
            <w:tcW w:w="5204" w:type="dxa"/>
            <w:noWrap w:val="0"/>
            <w:vAlign w:val="center"/>
          </w:tcPr>
          <w:p>
            <w:pPr>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审查标准</w:t>
            </w:r>
          </w:p>
        </w:tc>
        <w:tc>
          <w:tcPr>
            <w:tcW w:w="1221" w:type="dxa"/>
            <w:noWrap w:val="0"/>
            <w:vAlign w:val="center"/>
          </w:tcPr>
          <w:p>
            <w:pPr>
              <w:bidi w:val="0"/>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1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测绘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乙级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资质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审查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标准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28"/>
                <w:szCs w:val="28"/>
                <w:lang w:val="en-US" w:eastAsia="zh-CN" w:bidi="ar-SA"/>
              </w:rPr>
            </w:pPr>
            <w:r>
              <w:rPr>
                <w:rFonts w:hint="eastAsia" w:ascii="仿宋_GB2312" w:hAnsi="仿宋_GB2312" w:eastAsia="仿宋_GB2312" w:cs="仿宋_GB2312"/>
                <w:b/>
                <w:bCs/>
                <w:color w:val="auto"/>
                <w:sz w:val="28"/>
                <w:szCs w:val="28"/>
                <w:lang w:val="en-US" w:eastAsia="zh-CN"/>
              </w:rPr>
              <w:t>清单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lang w:val="en-US" w:eastAsia="zh-CN" w:bidi="ar"/>
              </w:rPr>
            </w:pPr>
          </w:p>
        </w:tc>
        <w:tc>
          <w:tcPr>
            <w:tcW w:w="1550" w:type="dxa"/>
            <w:noWrap w:val="0"/>
            <w:vAlign w:val="center"/>
          </w:tcPr>
          <w:p>
            <w:pPr>
              <w:bidi w:val="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主体要求</w:t>
            </w:r>
          </w:p>
        </w:tc>
        <w:tc>
          <w:tcPr>
            <w:tcW w:w="5204" w:type="dxa"/>
            <w:noWrap w:val="0"/>
            <w:vAlign w:val="top"/>
          </w:tcPr>
          <w:p>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申请人应为独立法人。不具有法人资格的不能申请（如：非法人企业、办事处等），具备从事测绘活动相适应的专业技术人员。</w:t>
            </w:r>
          </w:p>
        </w:tc>
        <w:tc>
          <w:tcPr>
            <w:tcW w:w="122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1.《测绘资质管理办法》（自然资办发[2021]43号）第二条、第五条；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2.《测绘资质分类分级标准》（自然资办发[2021]43号）第一条、第二条。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auto"/>
                <w:sz w:val="28"/>
                <w:szCs w:val="28"/>
                <w:lang w:val="en-US" w:eastAsia="zh-CN"/>
              </w:rPr>
            </w:pPr>
          </w:p>
        </w:tc>
        <w:tc>
          <w:tcPr>
            <w:tcW w:w="1550" w:type="dxa"/>
            <w:noWrap w:val="0"/>
            <w:vAlign w:val="center"/>
          </w:tcPr>
          <w:p>
            <w:pPr>
              <w:bidi w:val="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技术人员</w:t>
            </w:r>
          </w:p>
        </w:tc>
        <w:tc>
          <w:tcPr>
            <w:tcW w:w="5204" w:type="dxa"/>
            <w:noWrap w:val="0"/>
            <w:vAlign w:val="top"/>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具备从事测绘活动相适应的专业技术人员和测绘相关专业技术人员。</w:t>
            </w:r>
          </w:p>
        </w:tc>
        <w:tc>
          <w:tcPr>
            <w:tcW w:w="122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p>
        </w:tc>
        <w:tc>
          <w:tcPr>
            <w:tcW w:w="1550" w:type="dxa"/>
            <w:noWrap w:val="0"/>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技术装备</w:t>
            </w:r>
          </w:p>
        </w:tc>
        <w:tc>
          <w:tcPr>
            <w:tcW w:w="5204" w:type="dxa"/>
            <w:noWrap w:val="0"/>
            <w:vAlign w:val="top"/>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具备与专业类别相匹配的测绘仪器设备和设施，且仪器设备符合国家计量检定规程要求。</w:t>
            </w:r>
          </w:p>
        </w:tc>
        <w:tc>
          <w:tcPr>
            <w:tcW w:w="12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p>
        </w:tc>
        <w:tc>
          <w:tcPr>
            <w:tcW w:w="1550" w:type="dxa"/>
            <w:noWrap w:val="0"/>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安全和质量体系</w:t>
            </w:r>
          </w:p>
        </w:tc>
        <w:tc>
          <w:tcPr>
            <w:tcW w:w="5204" w:type="dxa"/>
            <w:noWrap w:val="0"/>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具有健全的技术和质量保证体系、安全保障措施、信息安全保密制度及测绘成果和资料档案管理制度。</w:t>
            </w:r>
          </w:p>
        </w:tc>
        <w:tc>
          <w:tcPr>
            <w:tcW w:w="12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1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专业类别</w:t>
            </w:r>
          </w:p>
        </w:tc>
        <w:tc>
          <w:tcPr>
            <w:tcW w:w="5204" w:type="dxa"/>
            <w:noWrap w:val="0"/>
            <w:vAlign w:val="top"/>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大地测量、测绘航空摄影、摄影测量与遥感、工程测量、海洋测绘、界线与不动产测绘、地理信息系统工程、地图编制、导航电子地图制作、互联网地图服务。</w:t>
            </w:r>
          </w:p>
        </w:tc>
        <w:tc>
          <w:tcPr>
            <w:tcW w:w="12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测绘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甲级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资质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审查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标准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清单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lang w:val="en-US" w:eastAsia="zh-CN" w:bidi="ar"/>
              </w:rPr>
            </w:pPr>
          </w:p>
        </w:tc>
        <w:tc>
          <w:tcPr>
            <w:tcW w:w="1550" w:type="dxa"/>
            <w:noWrap w:val="0"/>
            <w:vAlign w:val="center"/>
          </w:tcPr>
          <w:p>
            <w:pPr>
              <w:bidi w:val="0"/>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主体要求</w:t>
            </w:r>
          </w:p>
        </w:tc>
        <w:tc>
          <w:tcPr>
            <w:tcW w:w="5204" w:type="dxa"/>
            <w:noWrap w:val="0"/>
            <w:vAlign w:val="top"/>
          </w:tcPr>
          <w:p>
            <w:pPr>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申请人应为独立法人。不具有法人资格的不能申请（如：非法人企业、办事处等），具备从事测绘活动相适应的专业技术人员。</w:t>
            </w:r>
          </w:p>
        </w:tc>
        <w:tc>
          <w:tcPr>
            <w:tcW w:w="122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1.《测绘资质管理办法》（自然资办发[2021]43号）第五条；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eastAsia" w:ascii="仿宋_GB2312" w:hAnsi="仿宋_GB2312" w:eastAsia="仿宋_GB2312" w:cs="仿宋_GB2312"/>
                <w:color w:val="auto"/>
                <w:sz w:val="24"/>
                <w:szCs w:val="32"/>
                <w:vertAlign w:val="baseline"/>
                <w:lang w:val="en-US" w:eastAsia="zh-CN"/>
              </w:rPr>
              <w:t>2.《测绘资质分类分级标准》（自然资办发[2021]43号）第一条、第二条及附件《专业标准》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40" w:type="dxa"/>
            <w:vMerge w:val="continue"/>
            <w:noWrap w:val="0"/>
            <w:vAlign w:val="center"/>
          </w:tcPr>
          <w:p>
            <w:pPr>
              <w:jc w:val="both"/>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bidi w:val="0"/>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技术人员</w:t>
            </w:r>
          </w:p>
        </w:tc>
        <w:tc>
          <w:tcPr>
            <w:tcW w:w="5204" w:type="dxa"/>
            <w:noWrap w:val="0"/>
            <w:vAlign w:val="top"/>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2"/>
                <w:sz w:val="24"/>
                <w:szCs w:val="24"/>
                <w:lang w:val="en-US" w:eastAsia="zh-CN" w:bidi="ar-SA"/>
              </w:rPr>
              <w:t>具备从事测绘活动相适应的专业技术人员和测绘相关专业技术人员。</w:t>
            </w:r>
          </w:p>
        </w:tc>
        <w:tc>
          <w:tcPr>
            <w:tcW w:w="1221"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Merge w:val="continue"/>
            <w:noWrap w:val="0"/>
            <w:vAlign w:val="center"/>
          </w:tcPr>
          <w:p>
            <w:pPr>
              <w:jc w:val="both"/>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sz w:val="24"/>
                <w:szCs w:val="24"/>
                <w:lang w:val="en-US" w:eastAsia="zh-CN"/>
              </w:rPr>
              <w:t>技术装备</w:t>
            </w:r>
          </w:p>
        </w:tc>
        <w:tc>
          <w:tcPr>
            <w:tcW w:w="5204" w:type="dxa"/>
            <w:noWrap w:val="0"/>
            <w:vAlign w:val="top"/>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lang w:val="en-US" w:eastAsia="zh-CN"/>
              </w:rPr>
              <w:t>具备与专业类别相匹配的测绘仪器设备和设施，且仪器设备符合国家计量检定规程要求。</w:t>
            </w:r>
          </w:p>
        </w:tc>
        <w:tc>
          <w:tcPr>
            <w:tcW w:w="1221"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140" w:type="dxa"/>
            <w:vMerge w:val="continue"/>
            <w:noWrap w:val="0"/>
            <w:vAlign w:val="center"/>
          </w:tcPr>
          <w:p>
            <w:pPr>
              <w:jc w:val="both"/>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sz w:val="24"/>
                <w:szCs w:val="24"/>
                <w:lang w:val="en-US" w:eastAsia="zh-CN"/>
              </w:rPr>
              <w:t>安全和质量体系</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lang w:val="en-US" w:eastAsia="zh-CN"/>
              </w:rPr>
              <w:t>具有健全的技术和质量保证体系、安全保障措施、信息安全保密制度及测绘成果和资料档案管理制度。</w:t>
            </w:r>
          </w:p>
        </w:tc>
        <w:tc>
          <w:tcPr>
            <w:tcW w:w="1221"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40" w:type="dxa"/>
            <w:vMerge w:val="continue"/>
            <w:noWrap w:val="0"/>
            <w:vAlign w:val="center"/>
          </w:tcPr>
          <w:p>
            <w:pPr>
              <w:jc w:val="both"/>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jc w:val="center"/>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lang w:val="en-US" w:eastAsia="zh-CN"/>
              </w:rPr>
              <w:t>作业限制</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lang w:val="en-US" w:eastAsia="zh-CN"/>
              </w:rPr>
              <w:t>甲级资质在专业类别内无作业范围限制。</w:t>
            </w:r>
          </w:p>
        </w:tc>
        <w:tc>
          <w:tcPr>
            <w:tcW w:w="1221"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trPr>
        <w:tc>
          <w:tcPr>
            <w:tcW w:w="1140" w:type="dxa"/>
            <w:vMerge w:val="continue"/>
            <w:noWrap w:val="0"/>
            <w:vAlign w:val="center"/>
          </w:tcPr>
          <w:p>
            <w:pPr>
              <w:jc w:val="both"/>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sz w:val="24"/>
                <w:szCs w:val="24"/>
                <w:lang w:val="en-US" w:eastAsia="zh-CN"/>
              </w:rPr>
              <w:t>业绩要求</w:t>
            </w:r>
          </w:p>
        </w:tc>
        <w:tc>
          <w:tcPr>
            <w:tcW w:w="5204" w:type="dxa"/>
            <w:noWrap w:val="0"/>
            <w:vAlign w:val="top"/>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（1）时限。验收时间在近2年内，是指从申请单位提交申请材料之日起往前推算2年。</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业绩计算。1.申报业绩与申请的专业类别相符，且申报每个专业类别业绩总额达到600万元。2.申报每个专业类别的业绩中至少有一个50万以上的测绘项目。3.申报业绩中不存在超测绘资质等级、专业类别作业，和违规分包、转包情形的测绘项目；合法分包应提供总包项目合同。</w:t>
            </w:r>
          </w:p>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lang w:val="en-US" w:eastAsia="zh-CN"/>
              </w:rPr>
              <w:t>（3）验收方式。各项目均应全部完成并通过验收，能够提供验收合格凭证，未完成的项目不予认可。</w:t>
            </w:r>
          </w:p>
        </w:tc>
        <w:tc>
          <w:tcPr>
            <w:tcW w:w="1221" w:type="dxa"/>
            <w:vMerge w:val="continue"/>
            <w:noWrap w:val="0"/>
            <w:vAlign w:val="top"/>
          </w:tcPr>
          <w:p>
            <w:pPr>
              <w:bidi w:val="0"/>
              <w:jc w:val="both"/>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0" w:type="dxa"/>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bCs/>
                <w:sz w:val="28"/>
                <w:szCs w:val="28"/>
                <w:lang w:val="en-US" w:eastAsia="zh-CN"/>
              </w:rPr>
              <w:t>类别</w:t>
            </w:r>
          </w:p>
        </w:tc>
        <w:tc>
          <w:tcPr>
            <w:tcW w:w="1550" w:type="dxa"/>
            <w:noWrap w:val="0"/>
            <w:vAlign w:val="center"/>
          </w:tcPr>
          <w:p>
            <w:pPr>
              <w:bidi w:val="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bCs/>
                <w:kern w:val="2"/>
                <w:sz w:val="28"/>
                <w:szCs w:val="28"/>
                <w:lang w:val="en-US" w:eastAsia="zh-CN" w:bidi="ar-SA"/>
              </w:rPr>
              <w:t>审查内容</w:t>
            </w:r>
          </w:p>
        </w:tc>
        <w:tc>
          <w:tcPr>
            <w:tcW w:w="5204"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sz w:val="28"/>
                <w:szCs w:val="28"/>
                <w:vertAlign w:val="baseline"/>
                <w:lang w:val="en-US" w:eastAsia="zh-CN"/>
              </w:rPr>
              <w:t>审查标准</w:t>
            </w:r>
          </w:p>
        </w:tc>
        <w:tc>
          <w:tcPr>
            <w:tcW w:w="1221" w:type="dxa"/>
            <w:noWrap w:val="0"/>
            <w:vAlign w:val="center"/>
          </w:tcPr>
          <w:p>
            <w:pPr>
              <w:bidi w:val="0"/>
              <w:jc w:val="center"/>
              <w:rPr>
                <w:rFonts w:hint="default"/>
                <w:color w:val="auto"/>
                <w:lang w:val="en-US" w:eastAsia="zh-CN"/>
              </w:rPr>
            </w:pPr>
            <w:r>
              <w:rPr>
                <w:rFonts w:hint="eastAsia" w:ascii="仿宋_GB2312" w:hAnsi="仿宋_GB2312" w:eastAsia="仿宋_GB2312" w:cs="仿宋_GB2312"/>
                <w:b/>
                <w:bCs/>
                <w:sz w:val="28"/>
                <w:szCs w:val="28"/>
                <w:lang w:val="en-US"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40" w:type="dxa"/>
            <w:vMerge w:val="restart"/>
            <w:noWrap w:val="0"/>
            <w:vAlign w:val="center"/>
          </w:tcPr>
          <w:p>
            <w:pPr>
              <w:pStyle w:val="3"/>
              <w:keepNext w:val="0"/>
              <w:keepLines w:val="0"/>
              <w:widowControl/>
              <w:suppressLineNumbers w:val="0"/>
              <w:spacing w:before="0" w:beforeAutospacing="0" w:after="0" w:afterAutospacing="0" w:line="400" w:lineRule="exact"/>
              <w:ind w:left="0" w:right="0" w:firstLine="0"/>
              <w:jc w:val="center"/>
              <w:rPr>
                <w:sz w:val="28"/>
                <w:szCs w:val="28"/>
                <w:vertAlign w:val="baseline"/>
                <w:lang w:val="en-US" w:eastAsia="zh-CN"/>
              </w:rPr>
            </w:pPr>
            <w:r>
              <w:rPr>
                <w:rFonts w:hint="eastAsia" w:ascii="仿宋_GB2312" w:hAnsi="仿宋_GB2312" w:eastAsia="仿宋_GB2312" w:cs="仿宋_GB2312"/>
                <w:b/>
                <w:bCs/>
                <w:sz w:val="28"/>
                <w:szCs w:val="28"/>
                <w:lang w:val="en-US" w:eastAsia="zh-CN"/>
              </w:rPr>
              <w:t>城乡 规划（国土空间 规划）编制 乙级 资质 审查 标准 清单</w:t>
            </w:r>
          </w:p>
          <w:p>
            <w:pPr>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bidi w:val="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sz w:val="24"/>
                <w:szCs w:val="24"/>
                <w:lang w:val="en-US" w:eastAsia="zh-CN"/>
              </w:rPr>
              <w:t>主体要求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具有法人资格</w:t>
            </w:r>
          </w:p>
        </w:tc>
        <w:tc>
          <w:tcPr>
            <w:tcW w:w="1221" w:type="dxa"/>
            <w:vMerge w:val="restart"/>
            <w:noWrap w:val="0"/>
            <w:vAlign w:val="center"/>
          </w:tcPr>
          <w:p>
            <w:pPr>
              <w:numPr>
                <w:ilvl w:val="0"/>
                <w:numId w:val="0"/>
              </w:numPr>
              <w:ind w:left="0" w:leftChars="0" w:firstLine="0" w:firstLineChars="0"/>
              <w:jc w:val="both"/>
              <w:rPr>
                <w:rFonts w:hint="default"/>
                <w:color w:val="auto"/>
                <w:lang w:val="en-US" w:eastAsia="zh-CN"/>
              </w:rPr>
            </w:pPr>
            <w:r>
              <w:rPr>
                <w:rFonts w:hint="eastAsia" w:ascii="仿宋_GB2312" w:hAnsi="仿宋_GB2312" w:eastAsia="仿宋_GB2312" w:cs="仿宋_GB2312"/>
                <w:sz w:val="24"/>
                <w:szCs w:val="24"/>
                <w:vertAlign w:val="baseline"/>
                <w:lang w:val="en-US" w:eastAsia="zh-CN"/>
              </w:rPr>
              <w:t>《城乡规划编制单位资质管理办法》（自然资源部令第11号）第六条、第七条、第八条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4" w:hRule="atLeast"/>
        </w:trPr>
        <w:tc>
          <w:tcPr>
            <w:tcW w:w="1140" w:type="dxa"/>
            <w:vMerge w:val="continue"/>
            <w:noWrap w:val="0"/>
            <w:vAlign w:val="center"/>
          </w:tcPr>
          <w:p>
            <w:pPr>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技术人员</w:t>
            </w:r>
          </w:p>
        </w:tc>
        <w:tc>
          <w:tcPr>
            <w:tcW w:w="5204" w:type="dxa"/>
            <w:noWrap w:val="0"/>
            <w:vAlign w:val="center"/>
          </w:tcPr>
          <w:p>
            <w:pPr>
              <w:pStyle w:val="3"/>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专业技术人员不少于20人。其中具有城乡规划、土地规划管理相关专业高级技术职称的分别不少于1人；具有道路交通、给水排水、建筑、电力电信、燃气热力、地理、风景园林、生态环境、经济、地理信息、海洋、测绘、林草、地质相关专业高级技术职称的总人数不少于2人。具有城乡规划、土地规划管理相关专业中级技术职称的分别不少于1人，共不少于5人；具有其他专业中级技术职称的不少于10人，其中具有道路交通、给水排水、建筑、电力电信、燃气热力、地理、风景园林、生态环境、经济、地理信息、海洋、测绘、林草、地质相关专业中级技术职称的总人数不少于5人；聘用70周岁以下的退休高级职称技术人员或注册城乡规划师不超过1人。</w:t>
            </w:r>
          </w:p>
        </w:tc>
        <w:tc>
          <w:tcPr>
            <w:tcW w:w="1221" w:type="dxa"/>
            <w:vMerge w:val="continue"/>
            <w:noWrap w:val="0"/>
            <w:vAlign w:val="top"/>
          </w:tcPr>
          <w:p>
            <w:pPr>
              <w:jc w:val="both"/>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140" w:type="dxa"/>
            <w:vMerge w:val="continue"/>
            <w:noWrap w:val="0"/>
            <w:vAlign w:val="center"/>
          </w:tcPr>
          <w:p>
            <w:pPr>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特殊要求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注册城乡规划师不少于3人。</w:t>
            </w:r>
          </w:p>
        </w:tc>
        <w:tc>
          <w:tcPr>
            <w:tcW w:w="1221" w:type="dxa"/>
            <w:vMerge w:val="continue"/>
            <w:noWrap w:val="0"/>
            <w:vAlign w:val="top"/>
          </w:tcPr>
          <w:p>
            <w:pPr>
              <w:jc w:val="both"/>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0" w:type="dxa"/>
            <w:vMerge w:val="continue"/>
            <w:noWrap w:val="0"/>
            <w:vAlign w:val="center"/>
          </w:tcPr>
          <w:p>
            <w:pPr>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场所要求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有200平方米以上的固定工作场所，以及完善的技术、质量、安全、保密、档案、财务管理制度。</w:t>
            </w:r>
          </w:p>
        </w:tc>
        <w:tc>
          <w:tcPr>
            <w:tcW w:w="1221" w:type="dxa"/>
            <w:vMerge w:val="continue"/>
            <w:noWrap w:val="0"/>
            <w:vAlign w:val="top"/>
          </w:tcPr>
          <w:p>
            <w:pPr>
              <w:jc w:val="both"/>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1140" w:type="dxa"/>
            <w:vMerge w:val="continue"/>
            <w:noWrap w:val="0"/>
            <w:vAlign w:val="center"/>
          </w:tcPr>
          <w:p>
            <w:pPr>
              <w:tabs>
                <w:tab w:val="left" w:pos="387"/>
              </w:tabs>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作业限制</w:t>
            </w:r>
          </w:p>
        </w:tc>
        <w:tc>
          <w:tcPr>
            <w:tcW w:w="5204" w:type="dxa"/>
            <w:noWrap w:val="0"/>
            <w:vAlign w:val="center"/>
          </w:tcPr>
          <w:p>
            <w:pPr>
              <w:pStyle w:val="3"/>
              <w:keepNext w:val="0"/>
              <w:keepLines w:val="0"/>
              <w:widowControl/>
              <w:numPr>
                <w:ilvl w:val="0"/>
                <w:numId w:val="1"/>
              </w:numPr>
              <w:suppressLineNumbers w:val="0"/>
              <w:spacing w:before="0" w:beforeAutospacing="0" w:after="0" w:afterAutospacing="0" w:line="360" w:lineRule="exact"/>
              <w:ind w:left="0" w:leftChars="0" w:right="0" w:rightChars="0" w:firstLine="0" w:firstLineChars="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城区常住人口20万以下市县国土空间总体规划、乡镇国土空间总体规划的编制；    （二）乡镇、登记注册所在地城市和城区常住人口100万以下城市，法律法规对于规划编制单位资质有特定要求的有关专项规划的编制；   （三）详细规划的编制；</w:t>
            </w:r>
          </w:p>
          <w:p>
            <w:pPr>
              <w:pStyle w:val="3"/>
              <w:keepNext w:val="0"/>
              <w:keepLines w:val="0"/>
              <w:widowControl/>
              <w:numPr>
                <w:ilvl w:val="0"/>
                <w:numId w:val="0"/>
              </w:numPr>
              <w:suppressLineNumbers w:val="0"/>
              <w:spacing w:before="0" w:beforeAutospacing="0" w:after="0" w:afterAutospacing="0" w:line="360" w:lineRule="exac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kern w:val="0"/>
                <w:sz w:val="24"/>
                <w:szCs w:val="24"/>
                <w:lang w:val="en-US" w:eastAsia="zh-CN" w:bidi="ar"/>
              </w:rPr>
              <w:t xml:space="preserve">（四）建设项目规划选址和用地预审阶段相关论证报告的编制。 </w:t>
            </w:r>
          </w:p>
        </w:tc>
        <w:tc>
          <w:tcPr>
            <w:tcW w:w="1221" w:type="dxa"/>
            <w:vMerge w:val="continue"/>
            <w:noWrap w:val="0"/>
            <w:vAlign w:val="top"/>
          </w:tcPr>
          <w:p>
            <w:pPr>
              <w:jc w:val="both"/>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140" w:type="dxa"/>
            <w:vMerge w:val="continue"/>
            <w:noWrap w:val="0"/>
            <w:vAlign w:val="center"/>
          </w:tcPr>
          <w:p>
            <w:pPr>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质量管理  体系</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具备国土空间规划编制、论证、技术咨询等相应技术能力，拥有完善的规划编制质量控制体系。</w:t>
            </w:r>
          </w:p>
        </w:tc>
        <w:tc>
          <w:tcPr>
            <w:tcW w:w="1221" w:type="dxa"/>
            <w:vMerge w:val="continue"/>
            <w:noWrap w:val="0"/>
            <w:vAlign w:val="top"/>
          </w:tcPr>
          <w:p>
            <w:pPr>
              <w:jc w:val="both"/>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40" w:type="dxa"/>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bCs/>
                <w:sz w:val="28"/>
                <w:szCs w:val="28"/>
                <w:lang w:val="en-US" w:eastAsia="zh-CN"/>
              </w:rPr>
              <w:t>类别</w:t>
            </w:r>
          </w:p>
        </w:tc>
        <w:tc>
          <w:tcPr>
            <w:tcW w:w="1550" w:type="dxa"/>
            <w:noWrap w:val="0"/>
            <w:vAlign w:val="center"/>
          </w:tcPr>
          <w:p>
            <w:pPr>
              <w:bidi w:val="0"/>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bCs/>
                <w:kern w:val="2"/>
                <w:sz w:val="28"/>
                <w:szCs w:val="28"/>
                <w:lang w:val="en-US" w:eastAsia="zh-CN" w:bidi="ar-SA"/>
              </w:rPr>
              <w:t>审查内容</w:t>
            </w:r>
          </w:p>
        </w:tc>
        <w:tc>
          <w:tcPr>
            <w:tcW w:w="5204" w:type="dxa"/>
            <w:noWrap w:val="0"/>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sz w:val="28"/>
                <w:szCs w:val="28"/>
                <w:vertAlign w:val="baseline"/>
                <w:lang w:val="en-US" w:eastAsia="zh-CN"/>
              </w:rPr>
              <w:t>审查标准</w:t>
            </w:r>
          </w:p>
        </w:tc>
        <w:tc>
          <w:tcPr>
            <w:tcW w:w="1221" w:type="dxa"/>
            <w:noWrap w:val="0"/>
            <w:vAlign w:val="center"/>
          </w:tcPr>
          <w:p>
            <w:pPr>
              <w:bidi w:val="0"/>
              <w:jc w:val="center"/>
              <w:rPr>
                <w:rFonts w:hint="eastAsia" w:ascii="Calibri" w:hAnsi="Calibri" w:eastAsia="宋体" w:cs="Times New Roman"/>
                <w:color w:val="auto"/>
                <w:kern w:val="2"/>
                <w:sz w:val="21"/>
                <w:szCs w:val="24"/>
                <w:lang w:val="en-US" w:eastAsia="zh-CN" w:bidi="ar-SA"/>
              </w:rPr>
            </w:pPr>
            <w:r>
              <w:rPr>
                <w:rFonts w:hint="eastAsia" w:ascii="仿宋_GB2312" w:hAnsi="仿宋_GB2312" w:eastAsia="仿宋_GB2312" w:cs="仿宋_GB2312"/>
                <w:b/>
                <w:bCs/>
                <w:sz w:val="28"/>
                <w:szCs w:val="28"/>
                <w:lang w:val="en-US"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40" w:type="dxa"/>
            <w:vMerge w:val="restart"/>
            <w:noWrap w:val="0"/>
            <w:vAlign w:val="center"/>
          </w:tcPr>
          <w:p>
            <w:pPr>
              <w:pStyle w:val="3"/>
              <w:keepNext w:val="0"/>
              <w:keepLines w:val="0"/>
              <w:widowControl/>
              <w:suppressLineNumbers w:val="0"/>
              <w:spacing w:before="0" w:beforeAutospacing="0" w:after="0" w:afterAutospacing="0" w:line="400" w:lineRule="exact"/>
              <w:ind w:left="0" w:right="0" w:firstLine="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城乡 规划（国土空间 规划）编制 甲级 资质 审查 标准 清单</w:t>
            </w:r>
          </w:p>
          <w:p>
            <w:pPr>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主体要求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具有法人资格</w:t>
            </w:r>
          </w:p>
        </w:tc>
        <w:tc>
          <w:tcPr>
            <w:tcW w:w="1221" w:type="dxa"/>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1" w:hRule="atLeast"/>
        </w:trPr>
        <w:tc>
          <w:tcPr>
            <w:tcW w:w="1140"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技术人员</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专业技术人员不少于40人。其中，具有城乡规划、土地规划管理相关专业高级技术职称的分别不少于1人，共不少于5人；具有道路交通、给水排水、建筑、电力电信、燃气热力、地理、风景园林、生态环境、经济、地理信息、海洋、测绘、林草、地质相关专业高级技术职称的总人数不少于5人，且不少于4个专业类别。具有城乡规划、土地规划管理相关专业中级技术职称的分别不少于2人，共不少于10人；具有其他专业中级技术职称的不少于15人，其中具有道路交通、给水排水、建筑、电力电信、燃气热力、地理、风景园林、生态环境、经济、地理信息、海洋、测绘、林草、地质相关专业中级技术职称的总人数不少于10人；聘用70周岁以下的退休高级职称技术人员或注册城乡规划师不超过2人。</w:t>
            </w:r>
          </w:p>
        </w:tc>
        <w:tc>
          <w:tcPr>
            <w:tcW w:w="1221" w:type="dxa"/>
            <w:vMerge w:val="restart"/>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vertAlign w:val="baseline"/>
                <w:lang w:val="en-US" w:eastAsia="zh-CN"/>
              </w:rPr>
              <w:t>《城乡规划编制单位资质管理办法》（自然资源部令第11号）第六条、第七条、第八条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40"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特殊要求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注册城乡规划师不少于10人。</w:t>
            </w:r>
          </w:p>
        </w:tc>
        <w:tc>
          <w:tcPr>
            <w:tcW w:w="1221"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140"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场所要求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有400平方米以上的固定工作场所，以及完善的技术、质量、安全、保密、档案、财务管理制度。</w:t>
            </w:r>
          </w:p>
        </w:tc>
        <w:tc>
          <w:tcPr>
            <w:tcW w:w="1221"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1140"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业绩要求</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kern w:val="0"/>
                <w:sz w:val="24"/>
                <w:szCs w:val="24"/>
                <w:vertAlign w:val="baseline"/>
                <w:lang w:val="en-US" w:eastAsia="zh-CN" w:bidi="ar"/>
              </w:rPr>
              <w:t>在申请之日前5年内应当牵头或者独立承担并完成相关空间类规划项目不少于5项，且项目总经费不低于600万元。成立不满5年的，业绩要求按已满年度等比例计算。</w:t>
            </w:r>
          </w:p>
        </w:tc>
        <w:tc>
          <w:tcPr>
            <w:tcW w:w="1221"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140"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作业限制</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甲级城乡规划（国土空间规划）编制单位承担国土空间规划编制业务的范围不受限制。</w:t>
            </w:r>
          </w:p>
        </w:tc>
        <w:tc>
          <w:tcPr>
            <w:tcW w:w="1221"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140"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c>
          <w:tcPr>
            <w:tcW w:w="1550" w:type="dxa"/>
            <w:noWrap w:val="0"/>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质量管理</w:t>
            </w:r>
          </w:p>
          <w:p>
            <w:pPr>
              <w:pStyle w:val="3"/>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sz w:val="24"/>
                <w:szCs w:val="24"/>
                <w:lang w:val="en-US" w:eastAsia="zh-CN"/>
              </w:rPr>
              <w:t>体系</w:t>
            </w:r>
          </w:p>
        </w:tc>
        <w:tc>
          <w:tcPr>
            <w:tcW w:w="5204" w:type="dxa"/>
            <w:noWrap w:val="0"/>
            <w:vAlign w:val="center"/>
          </w:tcPr>
          <w:p>
            <w:pPr>
              <w:pStyle w:val="3"/>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sz w:val="24"/>
                <w:szCs w:val="24"/>
                <w:lang w:val="en-US" w:eastAsia="zh-CN"/>
              </w:rPr>
              <w:t>具备国土空间规划编制、论证、技术咨询等相应技术能力，拥有完善的规划编制质量控制体系。</w:t>
            </w:r>
          </w:p>
        </w:tc>
        <w:tc>
          <w:tcPr>
            <w:tcW w:w="1221" w:type="dxa"/>
            <w:vMerge w:val="continue"/>
            <w:noWrap w:val="0"/>
            <w:vAlign w:val="center"/>
          </w:tcPr>
          <w:p>
            <w:pPr>
              <w:bidi w:val="0"/>
              <w:jc w:val="center"/>
              <w:rPr>
                <w:rFonts w:hint="eastAsia" w:ascii="仿宋_GB2312" w:hAnsi="仿宋_GB2312" w:eastAsia="仿宋_GB2312" w:cs="仿宋_GB2312"/>
                <w:color w:val="auto"/>
                <w:kern w:val="0"/>
                <w:sz w:val="24"/>
                <w:szCs w:val="24"/>
                <w:lang w:val="en-US" w:eastAsia="zh-CN" w:bidi="ar"/>
              </w:rPr>
            </w:pPr>
          </w:p>
        </w:tc>
      </w:tr>
    </w:tbl>
    <w:tbl>
      <w:tblPr>
        <w:tblStyle w:val="4"/>
        <w:tblpPr w:leftFromText="180" w:rightFromText="180" w:vertAnchor="page" w:horzAnchor="page" w:tblpX="1861" w:tblpY="1548"/>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38"/>
        <w:gridCol w:w="5137"/>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8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sz w:val="28"/>
                <w:szCs w:val="28"/>
                <w:lang w:val="en-US" w:eastAsia="zh-CN"/>
              </w:rPr>
              <w:t>类别</w:t>
            </w:r>
          </w:p>
        </w:tc>
        <w:tc>
          <w:tcPr>
            <w:tcW w:w="1538" w:type="dxa"/>
            <w:noWrap w:val="0"/>
            <w:vAlign w:val="center"/>
          </w:tcPr>
          <w:p>
            <w:pPr>
              <w:bidi w:val="0"/>
              <w:jc w:val="cente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审查内容</w:t>
            </w:r>
          </w:p>
        </w:tc>
        <w:tc>
          <w:tcPr>
            <w:tcW w:w="5137" w:type="dxa"/>
            <w:noWrap w:val="0"/>
            <w:vAlign w:val="center"/>
          </w:tcPr>
          <w:p>
            <w:pPr>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sz w:val="28"/>
                <w:szCs w:val="28"/>
                <w:vertAlign w:val="baseline"/>
                <w:lang w:val="en-US" w:eastAsia="zh-CN"/>
              </w:rPr>
              <w:t>审查标准</w:t>
            </w:r>
          </w:p>
        </w:tc>
        <w:tc>
          <w:tcPr>
            <w:tcW w:w="1127" w:type="dxa"/>
            <w:noWrap w:val="0"/>
            <w:vAlign w:val="center"/>
          </w:tcPr>
          <w:p>
            <w:pPr>
              <w:bidi w:val="0"/>
              <w:jc w:val="cente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sz w:val="28"/>
                <w:szCs w:val="28"/>
                <w:lang w:val="en-US"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地质</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灾害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防治</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单位</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乙级</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资质</w:t>
            </w:r>
          </w:p>
        </w:tc>
        <w:tc>
          <w:tcPr>
            <w:tcW w:w="1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主体要求</w:t>
            </w:r>
          </w:p>
        </w:tc>
        <w:tc>
          <w:tcPr>
            <w:tcW w:w="5137"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color w:val="auto"/>
                <w:kern w:val="0"/>
                <w:sz w:val="24"/>
                <w:szCs w:val="24"/>
                <w:lang w:val="zh-CN" w:eastAsia="zh-CN" w:bidi="ar"/>
              </w:rPr>
              <w:t>具有企业法人或者事业单位法人资格。</w:t>
            </w:r>
          </w:p>
        </w:tc>
        <w:tc>
          <w:tcPr>
            <w:tcW w:w="1127" w:type="dxa"/>
            <w:vMerge w:val="restart"/>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《地质灾害防治单位资质管理办法》（</w:t>
            </w:r>
            <w:r>
              <w:rPr>
                <w:rFonts w:hint="eastAsia" w:ascii="仿宋_GB2312" w:hAnsi="仿宋_GB2312" w:eastAsia="仿宋_GB2312" w:cs="仿宋_GB2312"/>
                <w:color w:val="auto"/>
                <w:sz w:val="24"/>
                <w:szCs w:val="32"/>
                <w:vertAlign w:val="baseline"/>
                <w:lang w:val="zh-CN" w:eastAsia="zh-CN"/>
              </w:rPr>
              <w:t>自然资源部令第8号</w:t>
            </w:r>
            <w:r>
              <w:rPr>
                <w:rFonts w:hint="eastAsia" w:ascii="仿宋_GB2312" w:hAnsi="仿宋_GB2312" w:eastAsia="仿宋_GB2312" w:cs="仿宋_GB2312"/>
                <w:color w:val="auto"/>
                <w:sz w:val="24"/>
                <w:szCs w:val="32"/>
                <w:vertAlign w:val="baseline"/>
                <w:lang w:val="en-US" w:eastAsia="zh-CN"/>
              </w:rPr>
              <w:t>）第四条、第五条、第七条、第八条。</w:t>
            </w:r>
          </w:p>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10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p>
        </w:tc>
        <w:tc>
          <w:tcPr>
            <w:tcW w:w="1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lang w:val="en-US" w:eastAsia="zh-CN"/>
              </w:rPr>
              <w:t>技术人员</w:t>
            </w:r>
          </w:p>
        </w:tc>
        <w:tc>
          <w:tcPr>
            <w:tcW w:w="5137" w:type="dxa"/>
            <w:noWrap w:val="0"/>
            <w:vAlign w:val="center"/>
          </w:tcPr>
          <w:p>
            <w:pPr>
              <w:pStyle w:val="6"/>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400" w:lineRule="exact"/>
              <w:ind w:left="0" w:leftChars="0" w:right="0" w:firstLine="0" w:firstLineChars="0"/>
              <w:jc w:val="both"/>
              <w:rPr>
                <w:rFonts w:hint="eastAsia" w:ascii="仿宋_GB2312" w:hAnsi="仿宋_GB2312" w:eastAsia="仿宋_GB2312" w:cs="仿宋_GB2312"/>
                <w:color w:val="auto"/>
                <w:kern w:val="0"/>
                <w:sz w:val="24"/>
                <w:szCs w:val="24"/>
                <w:lang w:val="zh-CN" w:eastAsia="zh-CN"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val="zh-CN" w:eastAsia="zh-CN" w:bidi="ar"/>
              </w:rPr>
              <w:t>申请地质灾害评估和治理工程勘查设计资质、地质灾害治理工程监理资质的单位，资源与环境类、土木水利类相关专业技术人员总数不少于十人，其中高级技术职称人员不少于三人；</w:t>
            </w:r>
          </w:p>
          <w:p>
            <w:pPr>
              <w:pStyle w:val="7"/>
              <w:keepNext w:val="0"/>
              <w:keepLines w:val="0"/>
              <w:pageBreakBefore w:val="0"/>
              <w:kinsoku/>
              <w:wordWrap/>
              <w:overflowPunct/>
              <w:topLinePunct w:val="0"/>
              <w:autoSpaceDE/>
              <w:autoSpaceDN/>
              <w:bidi w:val="0"/>
              <w:adjustRightInd/>
              <w:snapToGrid/>
              <w:spacing w:before="0" w:after="0" w:line="400" w:lineRule="exact"/>
              <w:ind w:left="0" w:leftChars="0" w:right="0" w:rightChars="0" w:firstLine="0" w:firstLineChars="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val="zh-CN" w:eastAsia="zh-CN" w:bidi="ar"/>
              </w:rPr>
              <w:t>申请地质灾害治理工程施工资质单位，资源与环境类、土木水利类相关专业技术人员总数不少于二十人，其中高级技术职称人员不少于五人。</w:t>
            </w:r>
          </w:p>
        </w:tc>
        <w:tc>
          <w:tcPr>
            <w:tcW w:w="1127"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8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地质</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灾害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防治</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单位</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甲级</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资质</w:t>
            </w:r>
          </w:p>
        </w:tc>
        <w:tc>
          <w:tcPr>
            <w:tcW w:w="1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lang w:val="en-US" w:eastAsia="zh-CN"/>
              </w:rPr>
              <w:t>主体要求</w:t>
            </w:r>
          </w:p>
        </w:tc>
        <w:tc>
          <w:tcPr>
            <w:tcW w:w="5137"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lang w:val="en-US" w:eastAsia="zh-CN"/>
              </w:rPr>
              <w:t>具有法人资格。</w:t>
            </w:r>
          </w:p>
        </w:tc>
        <w:tc>
          <w:tcPr>
            <w:tcW w:w="1127"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1089" w:type="dxa"/>
            <w:vMerge w:val="continue"/>
            <w:noWrap w:val="0"/>
            <w:vAlign w:val="top"/>
          </w:tcPr>
          <w:p>
            <w:pPr>
              <w:jc w:val="both"/>
              <w:rPr>
                <w:rFonts w:hint="default" w:ascii="仿宋_GB2312" w:hAnsi="仿宋_GB2312" w:eastAsia="仿宋_GB2312" w:cs="仿宋_GB2312"/>
                <w:b w:val="0"/>
                <w:bCs w:val="0"/>
                <w:color w:val="auto"/>
                <w:sz w:val="24"/>
                <w:szCs w:val="24"/>
                <w:vertAlign w:val="baseline"/>
                <w:lang w:val="en-US" w:eastAsia="zh-CN"/>
              </w:rPr>
            </w:pPr>
          </w:p>
        </w:tc>
        <w:tc>
          <w:tcPr>
            <w:tcW w:w="1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技术人员</w:t>
            </w:r>
          </w:p>
        </w:tc>
        <w:tc>
          <w:tcPr>
            <w:tcW w:w="5137" w:type="dxa"/>
            <w:noWrap w:val="0"/>
            <w:vAlign w:val="top"/>
          </w:tcPr>
          <w:p>
            <w:pPr>
              <w:pStyle w:val="7"/>
              <w:keepNext w:val="0"/>
              <w:keepLines w:val="0"/>
              <w:pageBreakBefore w:val="0"/>
              <w:kinsoku/>
              <w:wordWrap/>
              <w:overflowPunct/>
              <w:topLinePunct w:val="0"/>
              <w:autoSpaceDE/>
              <w:autoSpaceDN/>
              <w:bidi w:val="0"/>
              <w:adjustRightInd/>
              <w:snapToGrid/>
              <w:spacing w:before="0" w:after="0" w:line="400" w:lineRule="exact"/>
              <w:ind w:left="0" w:leftChars="0" w:right="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w:t>
            </w:r>
            <w:r>
              <w:rPr>
                <w:rFonts w:hint="default" w:ascii="仿宋_GB2312" w:hAnsi="仿宋_GB2312" w:eastAsia="仿宋_GB2312" w:cs="仿宋_GB2312"/>
                <w:color w:val="auto"/>
                <w:kern w:val="0"/>
                <w:sz w:val="24"/>
                <w:szCs w:val="24"/>
                <w:lang w:val="zh-CN" w:eastAsia="zh-CN" w:bidi="ar"/>
              </w:rPr>
              <w:t>申请地质灾害评估和治理工程勘查设计资质、地质灾害治理工程施工资质的单位，资源与环境类、土木水利类相关专业技术人员总数不少于五十人，其中高级、中级技术职称人员总数不少于二十五人，高级技术职称人员不少于十人；</w:t>
            </w:r>
          </w:p>
          <w:p>
            <w:pPr>
              <w:pStyle w:val="7"/>
              <w:keepNext w:val="0"/>
              <w:keepLines w:val="0"/>
              <w:pageBreakBefore w:val="0"/>
              <w:kinsoku/>
              <w:wordWrap/>
              <w:overflowPunct/>
              <w:topLinePunct w:val="0"/>
              <w:autoSpaceDE/>
              <w:autoSpaceDN/>
              <w:bidi w:val="0"/>
              <w:adjustRightInd/>
              <w:snapToGrid/>
              <w:spacing w:before="0" w:after="0" w:line="400" w:lineRule="exact"/>
              <w:ind w:left="0" w:leftChars="0" w:right="0" w:rightChars="0" w:firstLine="0" w:firstLineChars="0"/>
              <w:jc w:val="both"/>
              <w:rPr>
                <w:rFonts w:hint="eastAsia"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0"/>
                <w:sz w:val="24"/>
                <w:szCs w:val="24"/>
                <w:lang w:val="en-US" w:eastAsia="zh-CN" w:bidi="ar"/>
              </w:rPr>
              <w:t>2.申请地质灾害治理工程监理资质的单位，资源与环境类、土木水利类相关专业技术人员总数不少于三十人，其中高级、中级技术职称人员总数不少于十五人，高级技术职称人员不少于五人。</w:t>
            </w:r>
          </w:p>
        </w:tc>
        <w:tc>
          <w:tcPr>
            <w:tcW w:w="1127"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1089" w:type="dxa"/>
            <w:vMerge w:val="continue"/>
            <w:noWrap w:val="0"/>
            <w:vAlign w:val="top"/>
          </w:tcPr>
          <w:p>
            <w:pPr>
              <w:jc w:val="both"/>
              <w:rPr>
                <w:rFonts w:hint="default" w:ascii="仿宋_GB2312" w:hAnsi="仿宋_GB2312" w:eastAsia="仿宋_GB2312" w:cs="仿宋_GB2312"/>
                <w:b w:val="0"/>
                <w:bCs w:val="0"/>
                <w:color w:val="auto"/>
                <w:sz w:val="24"/>
                <w:szCs w:val="24"/>
                <w:vertAlign w:val="baseline"/>
                <w:lang w:val="en-US" w:eastAsia="zh-CN"/>
              </w:rPr>
            </w:pPr>
          </w:p>
        </w:tc>
        <w:tc>
          <w:tcPr>
            <w:tcW w:w="1538" w:type="dxa"/>
            <w:noWrap w:val="0"/>
            <w:vAlign w:val="center"/>
          </w:tcPr>
          <w:p>
            <w:pPr>
              <w:keepNext w:val="0"/>
              <w:keepLines w:val="0"/>
              <w:pageBreakBefore w:val="0"/>
              <w:tabs>
                <w:tab w:val="left" w:pos="387"/>
              </w:tabs>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lang w:val="en-US" w:eastAsia="zh-CN"/>
              </w:rPr>
              <w:t>业绩要求</w:t>
            </w:r>
          </w:p>
        </w:tc>
        <w:tc>
          <w:tcPr>
            <w:tcW w:w="5137" w:type="dxa"/>
            <w:noWrap w:val="0"/>
            <w:vAlign w:val="top"/>
          </w:tcPr>
          <w:p>
            <w:pPr>
              <w:pStyle w:val="7"/>
              <w:keepNext w:val="0"/>
              <w:keepLines w:val="0"/>
              <w:pageBreakBefore w:val="0"/>
              <w:kinsoku/>
              <w:wordWrap/>
              <w:overflowPunct/>
              <w:topLinePunct w:val="0"/>
              <w:autoSpaceDE/>
              <w:autoSpaceDN/>
              <w:bidi w:val="0"/>
              <w:adjustRightInd/>
              <w:snapToGrid/>
              <w:spacing w:before="0" w:after="0" w:line="400" w:lineRule="exact"/>
              <w:ind w:left="0" w:leftChars="0" w:right="0" w:firstLine="0" w:firstLineChars="0"/>
              <w:jc w:val="both"/>
              <w:rPr>
                <w:rFonts w:hint="default" w:ascii="仿宋_GB2312" w:hAnsi="仿宋_GB2312" w:eastAsia="仿宋_GB2312" w:cs="仿宋_GB2312"/>
                <w:color w:val="auto"/>
                <w:kern w:val="0"/>
                <w:sz w:val="24"/>
                <w:szCs w:val="24"/>
                <w:lang w:val="zh-CN" w:eastAsia="zh-CN" w:bidi="ar"/>
              </w:rPr>
            </w:pPr>
            <w:r>
              <w:rPr>
                <w:rFonts w:hint="eastAsia" w:ascii="仿宋_GB2312" w:hAnsi="仿宋_GB2312" w:eastAsia="仿宋_GB2312" w:cs="仿宋_GB2312"/>
                <w:color w:val="auto"/>
                <w:kern w:val="0"/>
                <w:sz w:val="24"/>
                <w:szCs w:val="24"/>
                <w:lang w:val="en-US" w:eastAsia="zh-CN" w:bidi="ar"/>
              </w:rPr>
              <w:t>1.</w:t>
            </w:r>
            <w:r>
              <w:rPr>
                <w:rFonts w:hint="default" w:ascii="仿宋_GB2312" w:hAnsi="仿宋_GB2312" w:eastAsia="仿宋_GB2312" w:cs="仿宋_GB2312"/>
                <w:color w:val="auto"/>
                <w:kern w:val="0"/>
                <w:sz w:val="24"/>
                <w:szCs w:val="24"/>
                <w:lang w:val="zh-CN" w:eastAsia="zh-CN" w:bidi="ar"/>
              </w:rPr>
              <w:t>申请地质灾害评估和治理工程勘查设计资质的单位，在申请之日前五年内应当独立承担并完成地质灾害危险性评估项目、地质灾害治理工程勘查项目、地质灾害治理工程设计项目总数不少于五项，完成项目总经费不少于六十万元；</w:t>
            </w:r>
          </w:p>
          <w:p>
            <w:pPr>
              <w:pStyle w:val="7"/>
              <w:keepNext w:val="0"/>
              <w:keepLines w:val="0"/>
              <w:pageBreakBefore w:val="0"/>
              <w:kinsoku/>
              <w:wordWrap/>
              <w:overflowPunct/>
              <w:topLinePunct w:val="0"/>
              <w:autoSpaceDE/>
              <w:autoSpaceDN/>
              <w:bidi w:val="0"/>
              <w:adjustRightInd/>
              <w:snapToGrid/>
              <w:spacing w:before="0" w:after="0" w:line="400" w:lineRule="exact"/>
              <w:ind w:left="0" w:leftChars="0" w:right="0" w:firstLine="0" w:firstLineChars="0"/>
              <w:jc w:val="both"/>
              <w:rPr>
                <w:rFonts w:hint="default" w:ascii="仿宋_GB2312" w:hAnsi="仿宋_GB2312" w:eastAsia="仿宋_GB2312" w:cs="仿宋_GB2312"/>
                <w:color w:val="auto"/>
                <w:kern w:val="0"/>
                <w:sz w:val="24"/>
                <w:szCs w:val="24"/>
                <w:lang w:val="zh-CN" w:eastAsia="zh-CN" w:bidi="ar"/>
              </w:rPr>
            </w:pPr>
            <w:r>
              <w:rPr>
                <w:rFonts w:hint="eastAsia" w:ascii="仿宋_GB2312" w:hAnsi="仿宋_GB2312" w:eastAsia="仿宋_GB2312" w:cs="仿宋_GB2312"/>
                <w:color w:val="auto"/>
                <w:kern w:val="0"/>
                <w:sz w:val="24"/>
                <w:szCs w:val="24"/>
                <w:lang w:val="en-US" w:eastAsia="zh-CN" w:bidi="ar"/>
              </w:rPr>
              <w:t>2.</w:t>
            </w:r>
            <w:r>
              <w:rPr>
                <w:rFonts w:hint="default" w:ascii="仿宋_GB2312" w:hAnsi="仿宋_GB2312" w:eastAsia="仿宋_GB2312" w:cs="仿宋_GB2312"/>
                <w:color w:val="auto"/>
                <w:kern w:val="0"/>
                <w:sz w:val="24"/>
                <w:szCs w:val="24"/>
                <w:lang w:val="zh-CN" w:eastAsia="zh-CN" w:bidi="ar"/>
              </w:rPr>
              <w:t>申请地质灾害治理工程施工资质的单位，在申请之日前五年内应当独立承担并完成地质灾害治理工程施工项目不少于五项，完成项目总经费不少于五千万元；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w:t>
            </w:r>
            <w:r>
              <w:rPr>
                <w:rFonts w:hint="default" w:ascii="仿宋_GB2312" w:hAnsi="仿宋_GB2312" w:eastAsia="仿宋_GB2312" w:cs="仿宋_GB2312"/>
                <w:color w:val="auto"/>
                <w:kern w:val="0"/>
                <w:sz w:val="24"/>
                <w:szCs w:val="24"/>
                <w:lang w:val="zh-CN" w:eastAsia="zh-CN" w:bidi="ar"/>
              </w:rPr>
              <w:t>申请地质灾害治理工程监理资质的单位，在申请之日前五年内应当独立承担并完成地质灾害治理工程监理项目不少于五项，完成项目总经费不少于三十万元。</w:t>
            </w:r>
          </w:p>
        </w:tc>
        <w:tc>
          <w:tcPr>
            <w:tcW w:w="1127" w:type="dxa"/>
            <w:vMerge w:val="continue"/>
            <w:noWrap w:val="0"/>
            <w:vAlign w:val="top"/>
          </w:tcPr>
          <w:p>
            <w:pPr>
              <w:jc w:val="both"/>
              <w:rPr>
                <w:rFonts w:hint="eastAsia" w:ascii="仿宋_GB2312" w:hAnsi="仿宋_GB2312" w:eastAsia="仿宋_GB2312" w:cs="仿宋_GB2312"/>
                <w:color w:val="auto"/>
                <w:sz w:val="24"/>
                <w:szCs w:val="24"/>
                <w:vertAlign w:val="baseline"/>
                <w:lang w:val="en-US" w:eastAsia="zh-CN"/>
              </w:rPr>
            </w:pPr>
          </w:p>
        </w:tc>
      </w:tr>
    </w:tbl>
    <w:p/>
    <w:sectPr>
      <w:pgSz w:w="11906" w:h="16838"/>
      <w:pgMar w:top="1440" w:right="1519"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ADAB5"/>
    <w:multiLevelType w:val="singleLevel"/>
    <w:tmpl w:val="DD7ADA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E752A04"/>
    <w:rsid w:val="DF3F0599"/>
    <w:rsid w:val="EEEF1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customStyle="1" w:styleId="2">
    <w:name w:val="正文-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ind w:firstLine="200" w:firstLineChars="200"/>
      <w:jc w:val="both"/>
    </w:pPr>
    <w:rPr>
      <w:rFonts w:ascii="Calibri" w:hAnsi="Calibri"/>
      <w:color w:val="000000"/>
      <w:sz w:val="21"/>
      <w:szCs w:val="24"/>
      <w:lang w:val="en-US" w:eastAsia="zh-CN"/>
    </w:rPr>
  </w:style>
  <w:style w:type="paragraph" w:styleId="3">
    <w:name w:val="Normal (Web)"/>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ind w:left="0" w:right="0"/>
      <w:jc w:val="left"/>
    </w:pPr>
    <w:rPr>
      <w:kern w:val="0"/>
      <w:sz w:val="24"/>
      <w:lang w:val="en-US" w:eastAsia="zh-CN" w:bidi="ar"/>
    </w:rPr>
  </w:style>
  <w:style w:type="paragraph" w:customStyle="1" w:styleId="6">
    <w:name w:val="faguicon"/>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line="390" w:lineRule="atLeast"/>
      <w:ind w:firstLine="420"/>
      <w:jc w:val="both"/>
    </w:pPr>
    <w:rPr>
      <w:lang w:val="en-US" w:eastAsia="zh-CN"/>
    </w:rPr>
  </w:style>
  <w:style w:type="paragraph" w:customStyle="1" w:styleId="7">
    <w:name w:val="p"/>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line="390" w:lineRule="atLeast"/>
      <w:ind w:firstLine="420"/>
      <w:jc w:val="both"/>
      <w:textAlignment w:val="center"/>
    </w:pPr>
    <w:rPr>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2026-04-02T09:06:28Z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